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D9" w:rsidRDefault="008B33D9" w:rsidP="008B33D9">
      <w:pPr>
        <w:spacing w:line="500" w:lineRule="atLeas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附件</w:t>
      </w:r>
      <w:r>
        <w:rPr>
          <w:rFonts w:asciiTheme="minorEastAsia" w:eastAsiaTheme="minorEastAsia" w:hAnsiTheme="minorEastAsia"/>
          <w:b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8B33D9" w:rsidRDefault="008B33D9" w:rsidP="008B33D9">
      <w:pPr>
        <w:spacing w:line="500" w:lineRule="atLeast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综合评分办法</w:t>
      </w:r>
    </w:p>
    <w:p w:rsidR="008B33D9" w:rsidRDefault="008B33D9" w:rsidP="008B33D9">
      <w:pPr>
        <w:rPr>
          <w:rFonts w:asciiTheme="minorEastAsia" w:eastAsiaTheme="minorEastAsia" w:hAnsiTheme="minorEastAsia"/>
          <w:b/>
          <w:bCs/>
          <w:sz w:val="22"/>
        </w:rPr>
      </w:pPr>
      <w:bookmarkStart w:id="0" w:name="_Toc531856313"/>
      <w:r>
        <w:rPr>
          <w:rFonts w:asciiTheme="minorEastAsia" w:eastAsiaTheme="minorEastAsia" w:hAnsiTheme="minorEastAsia" w:hint="eastAsia"/>
          <w:b/>
          <w:sz w:val="22"/>
        </w:rPr>
        <w:t>评标原则</w:t>
      </w:r>
      <w:bookmarkEnd w:id="0"/>
    </w:p>
    <w:p w:rsidR="008B33D9" w:rsidRDefault="008B33D9" w:rsidP="008B33D9">
      <w:pPr>
        <w:pStyle w:val="a5"/>
        <w:spacing w:line="360" w:lineRule="auto"/>
        <w:jc w:val="left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（一）评委构成：本次招标采购项目的评委分别由采购单位代表构成</w:t>
      </w:r>
      <w:r>
        <w:rPr>
          <w:rFonts w:asciiTheme="minorEastAsia" w:eastAsiaTheme="minorEastAsia" w:hAnsiTheme="minorEastAsia"/>
          <w:bCs/>
        </w:rPr>
        <w:t xml:space="preserve"> </w:t>
      </w:r>
      <w:r>
        <w:rPr>
          <w:rFonts w:asciiTheme="minorEastAsia" w:eastAsiaTheme="minorEastAsia" w:hAnsiTheme="minorEastAsia" w:hint="eastAsia"/>
          <w:bCs/>
        </w:rPr>
        <w:t>。</w:t>
      </w:r>
    </w:p>
    <w:p w:rsidR="008B33D9" w:rsidRDefault="008B33D9" w:rsidP="008B33D9">
      <w:pPr>
        <w:pStyle w:val="a5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（二）评标依据：</w:t>
      </w:r>
      <w:r>
        <w:rPr>
          <w:rFonts w:asciiTheme="minorEastAsia" w:eastAsiaTheme="minorEastAsia" w:hAnsiTheme="minorEastAsia" w:hint="eastAsia"/>
        </w:rPr>
        <w:t>评标委员会以投标文件为依据，对投标响应文件进行评审，对投标单位的商务报价文件、技术文件内容按百分制打分。</w:t>
      </w:r>
    </w:p>
    <w:p w:rsidR="008B33D9" w:rsidRDefault="008B33D9" w:rsidP="008B33D9">
      <w:pPr>
        <w:spacing w:line="360" w:lineRule="auto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三）评标方式：评定方法中划分档次的，由评委综合定档，各评委成员在档次范围内独立打分，以各评委平均</w:t>
      </w:r>
      <w:proofErr w:type="gramStart"/>
      <w:r>
        <w:rPr>
          <w:rFonts w:asciiTheme="minorEastAsia" w:eastAsiaTheme="minorEastAsia" w:hAnsiTheme="minorEastAsia" w:hint="eastAsia"/>
          <w:bCs/>
          <w:kern w:val="0"/>
          <w:szCs w:val="21"/>
        </w:rPr>
        <w:t>分作为</w:t>
      </w:r>
      <w:proofErr w:type="gramEnd"/>
      <w:r>
        <w:rPr>
          <w:rFonts w:asciiTheme="minorEastAsia" w:eastAsiaTheme="minorEastAsia" w:hAnsiTheme="minorEastAsia" w:hint="eastAsia"/>
          <w:bCs/>
          <w:kern w:val="0"/>
          <w:szCs w:val="21"/>
        </w:rPr>
        <w:t>某投标单位某项对应分值。</w:t>
      </w:r>
    </w:p>
    <w:p w:rsidR="008B33D9" w:rsidRDefault="008B33D9" w:rsidP="008B33D9">
      <w:pPr>
        <w:pStyle w:val="a5"/>
        <w:spacing w:line="360" w:lineRule="auto"/>
        <w:ind w:firstLineChars="200" w:firstLine="420"/>
        <w:rPr>
          <w:rFonts w:asciiTheme="minorEastAsia" w:eastAsiaTheme="minorEastAsia" w:hAnsiTheme="minorEastAsia"/>
        </w:rPr>
      </w:pPr>
    </w:p>
    <w:p w:rsidR="008B33D9" w:rsidRDefault="008B33D9" w:rsidP="008B33D9">
      <w:pPr>
        <w:spacing w:line="360" w:lineRule="auto"/>
        <w:rPr>
          <w:rFonts w:asciiTheme="minorEastAsia" w:eastAsiaTheme="minorEastAsia" w:hAnsiTheme="minorEastAsia"/>
          <w:b/>
          <w:sz w:val="22"/>
          <w:szCs w:val="24"/>
        </w:rPr>
      </w:pPr>
      <w:r>
        <w:rPr>
          <w:rFonts w:asciiTheme="minorEastAsia" w:eastAsiaTheme="minorEastAsia" w:hAnsiTheme="minorEastAsia" w:hint="eastAsia"/>
          <w:b/>
          <w:sz w:val="22"/>
          <w:szCs w:val="24"/>
        </w:rPr>
        <w:t>1、（1）价格评分……</w:t>
      </w:r>
      <w:proofErr w:type="gramStart"/>
      <w:r>
        <w:rPr>
          <w:rFonts w:asciiTheme="minorEastAsia" w:eastAsiaTheme="minorEastAsia" w:hAnsiTheme="minorEastAsia" w:hint="eastAsia"/>
          <w:b/>
          <w:sz w:val="22"/>
          <w:szCs w:val="24"/>
        </w:rPr>
        <w:t>………………………………………………………………</w:t>
      </w:r>
      <w:proofErr w:type="gramEnd"/>
      <w:r>
        <w:rPr>
          <w:rFonts w:asciiTheme="minorEastAsia" w:eastAsiaTheme="minorEastAsia" w:hAnsiTheme="minorEastAsia" w:hint="eastAsia"/>
          <w:b/>
          <w:sz w:val="22"/>
          <w:szCs w:val="24"/>
        </w:rPr>
        <w:t>满分</w:t>
      </w:r>
      <w:r>
        <w:rPr>
          <w:rFonts w:asciiTheme="minorEastAsia" w:eastAsiaTheme="minorEastAsia" w:hAnsiTheme="minorEastAsia"/>
          <w:b/>
          <w:sz w:val="22"/>
          <w:szCs w:val="24"/>
        </w:rPr>
        <w:t>50</w:t>
      </w:r>
      <w:r>
        <w:rPr>
          <w:rFonts w:asciiTheme="minorEastAsia" w:eastAsiaTheme="minorEastAsia" w:hAnsiTheme="minorEastAsia" w:hint="eastAsia"/>
          <w:b/>
          <w:sz w:val="22"/>
          <w:szCs w:val="24"/>
        </w:rPr>
        <w:t>分</w:t>
      </w:r>
    </w:p>
    <w:p w:rsidR="008B33D9" w:rsidRDefault="008B33D9" w:rsidP="008B33D9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</w:p>
    <w:p w:rsidR="008B33D9" w:rsidRDefault="008B33D9" w:rsidP="008B33D9">
      <w:pPr>
        <w:pStyle w:val="a5"/>
        <w:spacing w:line="360" w:lineRule="auto"/>
        <w:ind w:firstLineChars="1550" w:firstLine="3255"/>
      </w:pPr>
      <w:r>
        <w:rPr>
          <w:rFonts w:hint="eastAsia"/>
        </w:rPr>
        <w:t xml:space="preserve">最低投标单位投标报价金额          </w:t>
      </w:r>
    </w:p>
    <w:p w:rsidR="008B33D9" w:rsidRDefault="008B33D9" w:rsidP="008B33D9">
      <w:pPr>
        <w:pStyle w:val="a5"/>
        <w:spacing w:line="360" w:lineRule="auto"/>
        <w:ind w:firstLineChars="321" w:firstLine="67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90169</wp:posOffset>
                </wp:positionV>
                <wp:extent cx="2200275" cy="0"/>
                <wp:effectExtent l="0" t="0" r="952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95pt,7.1pt" to="307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"/>
            </w:pict>
          </mc:Fallback>
        </mc:AlternateContent>
      </w:r>
      <w:r>
        <w:rPr>
          <w:rFonts w:hint="eastAsia"/>
        </w:rPr>
        <w:t xml:space="preserve">投标单位价格分 =                              </w:t>
      </w:r>
      <w:r>
        <w:t xml:space="preserve">  </w:t>
      </w:r>
      <w:r>
        <w:rPr>
          <w:rFonts w:hint="eastAsia"/>
        </w:rPr>
        <w:t xml:space="preserve">    　　×</w:t>
      </w:r>
      <w:r>
        <w:t>50</w:t>
      </w:r>
      <w:r>
        <w:rPr>
          <w:rFonts w:hint="eastAsia"/>
        </w:rPr>
        <w:t xml:space="preserve"> 分</w:t>
      </w:r>
    </w:p>
    <w:p w:rsidR="008B33D9" w:rsidRDefault="008B33D9" w:rsidP="008B33D9">
      <w:pPr>
        <w:pStyle w:val="a5"/>
        <w:spacing w:line="360" w:lineRule="auto"/>
        <w:ind w:firstLineChars="255" w:firstLine="535"/>
      </w:pPr>
      <w:r>
        <w:rPr>
          <w:rFonts w:hint="eastAsia"/>
        </w:rPr>
        <w:t xml:space="preserve">                           投标单位投标报价金额  </w:t>
      </w:r>
    </w:p>
    <w:p w:rsidR="008B33D9" w:rsidRDefault="008B33D9" w:rsidP="008B33D9">
      <w:pPr>
        <w:pStyle w:val="a5"/>
        <w:spacing w:line="360" w:lineRule="auto"/>
        <w:ind w:firstLineChars="255" w:firstLine="535"/>
      </w:pPr>
    </w:p>
    <w:p w:rsidR="008B33D9" w:rsidRDefault="008B33D9" w:rsidP="008B33D9">
      <w:pPr>
        <w:spacing w:line="40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>2、技术分……</w:t>
      </w:r>
      <w:proofErr w:type="gramStart"/>
      <w:r>
        <w:rPr>
          <w:rFonts w:asciiTheme="minorEastAsia" w:eastAsiaTheme="minorEastAsia" w:hAnsiTheme="minorEastAsia"/>
          <w:b/>
        </w:rPr>
        <w:t>…………………………………………………………………………………</w:t>
      </w:r>
      <w:proofErr w:type="gramEnd"/>
      <w:r>
        <w:rPr>
          <w:rFonts w:asciiTheme="minorEastAsia" w:eastAsiaTheme="minorEastAsia" w:hAnsiTheme="minorEastAsia"/>
          <w:b/>
        </w:rPr>
        <w:t>3</w:t>
      </w:r>
      <w:r>
        <w:rPr>
          <w:rFonts w:asciiTheme="minorEastAsia" w:eastAsiaTheme="minorEastAsia" w:hAnsiTheme="minorEastAsia" w:hint="eastAsia"/>
          <w:b/>
        </w:rPr>
        <w:t>0</w:t>
      </w:r>
      <w:r>
        <w:rPr>
          <w:rFonts w:asciiTheme="minorEastAsia" w:eastAsiaTheme="minorEastAsia" w:hAnsiTheme="minorEastAsia"/>
          <w:b/>
        </w:rPr>
        <w:t>分</w:t>
      </w:r>
    </w:p>
    <w:p w:rsidR="008B33D9" w:rsidRDefault="008B33D9" w:rsidP="008B33D9">
      <w:pPr>
        <w:spacing w:line="400" w:lineRule="exact"/>
        <w:ind w:firstLineChars="200" w:firstLine="404"/>
        <w:rPr>
          <w:rFonts w:asciiTheme="minorEastAsia" w:eastAsiaTheme="minorEastAsia" w:hAnsiTheme="minorEastAsia"/>
          <w:bCs/>
          <w:spacing w:val="-4"/>
        </w:rPr>
      </w:pPr>
      <w:r>
        <w:rPr>
          <w:rFonts w:asciiTheme="minorEastAsia" w:eastAsiaTheme="minorEastAsia" w:hAnsiTheme="minorEastAsia" w:hint="eastAsia"/>
          <w:bCs/>
          <w:spacing w:val="-4"/>
        </w:rPr>
        <w:t>评委根据投标文件要求，对通过资格性和符合性审查</w:t>
      </w:r>
      <w:proofErr w:type="gramStart"/>
      <w:r>
        <w:rPr>
          <w:rFonts w:asciiTheme="minorEastAsia" w:eastAsiaTheme="minorEastAsia" w:hAnsiTheme="minorEastAsia" w:hint="eastAsia"/>
          <w:bCs/>
          <w:spacing w:val="-4"/>
        </w:rPr>
        <w:t>进入详评的</w:t>
      </w:r>
      <w:proofErr w:type="gramEnd"/>
      <w:r>
        <w:rPr>
          <w:rFonts w:asciiTheme="minorEastAsia" w:eastAsiaTheme="minorEastAsia" w:hAnsiTheme="minorEastAsia" w:hint="eastAsia"/>
          <w:bCs/>
          <w:spacing w:val="-4"/>
        </w:rPr>
        <w:t>各投标单位的投标文件的技术参数响应情况进行独立评审，确定并填写 “投标单位技术参数偏离情况表”，并按如下计分方式确定得分：</w:t>
      </w:r>
    </w:p>
    <w:p w:rsidR="008B33D9" w:rsidRDefault="008B33D9" w:rsidP="008B33D9">
      <w:pPr>
        <w:spacing w:line="400" w:lineRule="exact"/>
        <w:ind w:firstLineChars="200" w:firstLine="404"/>
        <w:rPr>
          <w:rFonts w:asciiTheme="minorEastAsia" w:eastAsiaTheme="minorEastAsia" w:hAnsiTheme="minorEastAsia"/>
          <w:bCs/>
          <w:spacing w:val="-4"/>
        </w:rPr>
      </w:pPr>
      <w:r>
        <w:rPr>
          <w:rFonts w:asciiTheme="minorEastAsia" w:eastAsiaTheme="minorEastAsia" w:hAnsiTheme="minorEastAsia" w:hint="eastAsia"/>
          <w:bCs/>
          <w:spacing w:val="-4"/>
        </w:rPr>
        <w:t>基本分                                               满分30分</w:t>
      </w:r>
    </w:p>
    <w:p w:rsidR="008B33D9" w:rsidRDefault="008B33D9" w:rsidP="008B33D9">
      <w:pPr>
        <w:pStyle w:val="a6"/>
        <w:numPr>
          <w:ilvl w:val="0"/>
          <w:numId w:val="1"/>
        </w:numPr>
        <w:spacing w:line="400" w:lineRule="exact"/>
        <w:ind w:left="0" w:firstLineChars="0" w:firstLine="0"/>
        <w:rPr>
          <w:rFonts w:asciiTheme="minorEastAsia" w:eastAsiaTheme="minorEastAsia" w:hAnsiTheme="minorEastAsia"/>
          <w:bCs/>
          <w:spacing w:val="-4"/>
        </w:rPr>
      </w:pPr>
      <w:r>
        <w:rPr>
          <w:rFonts w:asciiTheme="minorEastAsia" w:eastAsiaTheme="minorEastAsia" w:hAnsiTheme="minorEastAsia" w:hint="eastAsia"/>
          <w:bCs/>
          <w:spacing w:val="-4"/>
        </w:rPr>
        <w:t>完全满足投标文件实质性要求的，即得基本分30分；</w:t>
      </w:r>
    </w:p>
    <w:p w:rsidR="008B33D9" w:rsidRDefault="008B33D9" w:rsidP="008B33D9">
      <w:pPr>
        <w:pStyle w:val="a6"/>
        <w:numPr>
          <w:ilvl w:val="0"/>
          <w:numId w:val="1"/>
        </w:numPr>
        <w:ind w:left="0" w:firstLineChars="0" w:firstLine="0"/>
        <w:rPr>
          <w:rFonts w:asciiTheme="minorEastAsia" w:eastAsiaTheme="minorEastAsia" w:hAnsiTheme="minorEastAsia"/>
          <w:bCs/>
          <w:spacing w:val="-4"/>
        </w:rPr>
      </w:pPr>
      <w:r>
        <w:rPr>
          <w:rFonts w:asciiTheme="minorEastAsia" w:eastAsiaTheme="minorEastAsia" w:hAnsiTheme="minorEastAsia" w:hint="eastAsia"/>
          <w:bCs/>
          <w:spacing w:val="-4"/>
        </w:rPr>
        <w:t>货物需求一览表中如有带</w:t>
      </w:r>
      <w:r>
        <w:rPr>
          <w:rFonts w:asciiTheme="minorEastAsia" w:eastAsiaTheme="minorEastAsia" w:hAnsiTheme="minorEastAsia" w:cs="宋体" w:hint="eastAsia"/>
          <w:szCs w:val="21"/>
        </w:rPr>
        <w:t>★项不满足的，每一处带★</w:t>
      </w:r>
      <w:proofErr w:type="gramStart"/>
      <w:r>
        <w:rPr>
          <w:rFonts w:asciiTheme="minorEastAsia" w:eastAsiaTheme="minorEastAsia" w:hAnsiTheme="minorEastAsia" w:cs="宋体" w:hint="eastAsia"/>
          <w:szCs w:val="21"/>
        </w:rPr>
        <w:t>项扣</w:t>
      </w:r>
      <w:proofErr w:type="gramEnd"/>
      <w:r>
        <w:rPr>
          <w:rFonts w:asciiTheme="minorEastAsia" w:eastAsiaTheme="minorEastAsia" w:hAnsiTheme="minorEastAsia" w:cs="宋体" w:hint="eastAsia"/>
          <w:szCs w:val="21"/>
        </w:rPr>
        <w:t>5 分，扣完本项分为止。</w:t>
      </w:r>
    </w:p>
    <w:p w:rsidR="008B33D9" w:rsidRDefault="008B33D9" w:rsidP="008B33D9">
      <w:pPr>
        <w:pStyle w:val="a6"/>
        <w:numPr>
          <w:ilvl w:val="0"/>
          <w:numId w:val="1"/>
        </w:numPr>
        <w:ind w:left="0" w:firstLineChars="0" w:firstLine="0"/>
        <w:rPr>
          <w:rFonts w:asciiTheme="minorEastAsia" w:eastAsiaTheme="minorEastAsia" w:hAnsiTheme="minorEastAsia"/>
          <w:bCs/>
          <w:spacing w:val="-4"/>
        </w:rPr>
      </w:pPr>
      <w:r>
        <w:rPr>
          <w:rFonts w:asciiTheme="minorEastAsia" w:eastAsiaTheme="minorEastAsia" w:hAnsiTheme="minorEastAsia" w:hint="eastAsia"/>
          <w:bCs/>
          <w:spacing w:val="-4"/>
        </w:rPr>
        <w:t>不带★</w:t>
      </w:r>
      <w:proofErr w:type="gramStart"/>
      <w:r>
        <w:rPr>
          <w:rFonts w:asciiTheme="minorEastAsia" w:eastAsiaTheme="minorEastAsia" w:hAnsiTheme="minorEastAsia" w:hint="eastAsia"/>
          <w:bCs/>
          <w:spacing w:val="-4"/>
        </w:rPr>
        <w:t>号项技术</w:t>
      </w:r>
      <w:proofErr w:type="gramEnd"/>
      <w:r>
        <w:rPr>
          <w:rFonts w:asciiTheme="minorEastAsia" w:eastAsiaTheme="minorEastAsia" w:hAnsiTheme="minorEastAsia" w:hint="eastAsia"/>
          <w:bCs/>
          <w:spacing w:val="-4"/>
        </w:rPr>
        <w:t>、性能指标或者辅助功能与投标文件要求出现负偏离的，每偏离一项扣2分，扣完为止；</w:t>
      </w:r>
    </w:p>
    <w:p w:rsidR="008B33D9" w:rsidRDefault="008B33D9" w:rsidP="008B33D9">
      <w:pPr>
        <w:spacing w:line="400" w:lineRule="exact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、售后服务方案分</w:t>
      </w:r>
      <w:r>
        <w:rPr>
          <w:b/>
        </w:rPr>
        <w:t>……</w:t>
      </w:r>
      <w:proofErr w:type="gramStart"/>
      <w:r>
        <w:rPr>
          <w:b/>
        </w:rPr>
        <w:t>………………………………………………………………………</w:t>
      </w:r>
      <w:proofErr w:type="gramEnd"/>
      <w:r>
        <w:rPr>
          <w:rFonts w:hint="eastAsia"/>
          <w:b/>
        </w:rPr>
        <w:t>20</w:t>
      </w:r>
      <w:r>
        <w:rPr>
          <w:rFonts w:hint="eastAsia"/>
          <w:b/>
        </w:rPr>
        <w:t>分</w:t>
      </w:r>
    </w:p>
    <w:p w:rsidR="008B33D9" w:rsidRDefault="008B33D9" w:rsidP="008B33D9">
      <w:pPr>
        <w:spacing w:line="400" w:lineRule="exact"/>
        <w:ind w:firstLineChars="200" w:firstLine="420"/>
      </w:pPr>
      <w:r>
        <w:rPr>
          <w:rFonts w:hint="eastAsia"/>
        </w:rPr>
        <w:t>评委对投标单位的投标文件中售后服务承诺书内容的完整性、可行性、到达故障现场时间、故障出现解决方案、定期维护（注明时间）、免费技术培训方案、保修期外维修方案、安装要求及方案、其他优惠措施等方面，集体讨论确定投标单位“优秀、良好、一般”</w:t>
      </w:r>
      <w:r>
        <w:rPr>
          <w:rFonts w:hint="eastAsia"/>
        </w:rPr>
        <w:t xml:space="preserve"> </w:t>
      </w:r>
      <w:r>
        <w:rPr>
          <w:rFonts w:hint="eastAsia"/>
        </w:rPr>
        <w:t>各所属档次并形成书面材料确定等级评定档次，并详细记录各投标单位差别；评委依照等级评定内容在相应档次内独立打分。若各投标单位等级评定说明内容无明显差异或相同的，评委不得歧视投标单位实行差别对待。</w:t>
      </w:r>
    </w:p>
    <w:p w:rsidR="008B33D9" w:rsidRDefault="008B33D9" w:rsidP="008B33D9">
      <w:pPr>
        <w:spacing w:line="400" w:lineRule="exact"/>
      </w:pPr>
      <w:r>
        <w:rPr>
          <w:rFonts w:hint="eastAsia"/>
        </w:rPr>
        <w:t>一档（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分）：综合评定为一般</w:t>
      </w:r>
    </w:p>
    <w:p w:rsidR="008B33D9" w:rsidRDefault="008B33D9" w:rsidP="008B33D9">
      <w:pPr>
        <w:spacing w:line="400" w:lineRule="exact"/>
      </w:pPr>
      <w:r>
        <w:rPr>
          <w:rFonts w:hint="eastAsia"/>
        </w:rPr>
        <w:t>二档（</w:t>
      </w:r>
      <w:r>
        <w:t>1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分）：综合评定为良好</w:t>
      </w:r>
      <w:bookmarkStart w:id="1" w:name="_GoBack"/>
      <w:bookmarkEnd w:id="1"/>
    </w:p>
    <w:p w:rsidR="008B33D9" w:rsidRDefault="008B33D9" w:rsidP="008B33D9">
      <w:pPr>
        <w:spacing w:line="400" w:lineRule="exact"/>
      </w:pPr>
      <w:r>
        <w:rPr>
          <w:rFonts w:hint="eastAsia"/>
        </w:rPr>
        <w:t>三档（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）：综合评定为优秀</w:t>
      </w:r>
    </w:p>
    <w:p w:rsidR="008B33D9" w:rsidRDefault="008B33D9" w:rsidP="008B33D9">
      <w:pPr>
        <w:pStyle w:val="a5"/>
        <w:spacing w:line="460" w:lineRule="exact"/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sz w:val="24"/>
          <w:szCs w:val="24"/>
        </w:rPr>
        <w:t>（三）总得分=1+2+3</w:t>
      </w:r>
    </w:p>
    <w:p w:rsidR="008B33D9" w:rsidRDefault="008B33D9" w:rsidP="008B33D9">
      <w:pPr>
        <w:pStyle w:val="a5"/>
        <w:tabs>
          <w:tab w:val="left" w:pos="735"/>
        </w:tabs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</w:rPr>
        <w:t>（四）评标委员会</w:t>
      </w:r>
      <w:r>
        <w:rPr>
          <w:rFonts w:asciiTheme="minorEastAsia" w:eastAsiaTheme="minorEastAsia" w:hAnsiTheme="minorEastAsia" w:hint="eastAsia"/>
        </w:rPr>
        <w:t>将按总得分由高到低推荐首选候选供应商顺序（总得分相同时，依次按投标报价低优先、技术分高优先、质量保证期长优先、交货期短优先、故障响应时间短优先的顺序排列），并依照次序确定首选供应商。</w:t>
      </w:r>
    </w:p>
    <w:p w:rsidR="00E466AD" w:rsidRPr="008B33D9" w:rsidRDefault="00E466AD"/>
    <w:sectPr w:rsidR="00E466AD" w:rsidRPr="008B33D9" w:rsidSect="00E159FE">
      <w:footerReference w:type="default" r:id="rId8"/>
      <w:pgSz w:w="11906" w:h="16838"/>
      <w:pgMar w:top="567" w:right="567" w:bottom="567" w:left="567" w:header="851" w:footer="992" w:gutter="0"/>
      <w:pgNumType w:start="1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0A" w:rsidRDefault="00E1410A" w:rsidP="008B33D9">
      <w:r>
        <w:separator/>
      </w:r>
    </w:p>
  </w:endnote>
  <w:endnote w:type="continuationSeparator" w:id="0">
    <w:p w:rsidR="00E1410A" w:rsidRDefault="00E1410A" w:rsidP="008B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FE" w:rsidRDefault="008B33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3D0B4" wp14:editId="324A42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381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59FE" w:rsidRDefault="00E1410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B33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7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" filled="f" stroked="f">
              <v:path arrowok="t"/>
              <v:textbox style="mso-fit-shape-to-text:t" inset="0,0,0,0">
                <w:txbxContent>
                  <w:p w:rsidR="00E159FE" w:rsidRDefault="00E1410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B33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0A" w:rsidRDefault="00E1410A" w:rsidP="008B33D9">
      <w:r>
        <w:separator/>
      </w:r>
    </w:p>
  </w:footnote>
  <w:footnote w:type="continuationSeparator" w:id="0">
    <w:p w:rsidR="00E1410A" w:rsidRDefault="00E1410A" w:rsidP="008B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09C"/>
    <w:multiLevelType w:val="multilevel"/>
    <w:tmpl w:val="0FBA109C"/>
    <w:lvl w:ilvl="0">
      <w:start w:val="1"/>
      <w:numFmt w:val="decimalEnclosedCircle"/>
      <w:lvlText w:val="%1"/>
      <w:lvlJc w:val="left"/>
      <w:pPr>
        <w:ind w:left="76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4" w:hanging="420"/>
      </w:pPr>
    </w:lvl>
    <w:lvl w:ilvl="2">
      <w:start w:val="1"/>
      <w:numFmt w:val="lowerRoman"/>
      <w:lvlText w:val="%3."/>
      <w:lvlJc w:val="right"/>
      <w:pPr>
        <w:ind w:left="1664" w:hanging="420"/>
      </w:pPr>
    </w:lvl>
    <w:lvl w:ilvl="3">
      <w:start w:val="1"/>
      <w:numFmt w:val="decimal"/>
      <w:lvlText w:val="%4."/>
      <w:lvlJc w:val="left"/>
      <w:pPr>
        <w:ind w:left="2084" w:hanging="420"/>
      </w:pPr>
    </w:lvl>
    <w:lvl w:ilvl="4">
      <w:start w:val="1"/>
      <w:numFmt w:val="lowerLetter"/>
      <w:lvlText w:val="%5)"/>
      <w:lvlJc w:val="left"/>
      <w:pPr>
        <w:ind w:left="2504" w:hanging="420"/>
      </w:pPr>
    </w:lvl>
    <w:lvl w:ilvl="5">
      <w:start w:val="1"/>
      <w:numFmt w:val="lowerRoman"/>
      <w:lvlText w:val="%6."/>
      <w:lvlJc w:val="right"/>
      <w:pPr>
        <w:ind w:left="2924" w:hanging="420"/>
      </w:pPr>
    </w:lvl>
    <w:lvl w:ilvl="6">
      <w:start w:val="1"/>
      <w:numFmt w:val="decimal"/>
      <w:lvlText w:val="%7."/>
      <w:lvlJc w:val="left"/>
      <w:pPr>
        <w:ind w:left="3344" w:hanging="420"/>
      </w:pPr>
    </w:lvl>
    <w:lvl w:ilvl="7">
      <w:start w:val="1"/>
      <w:numFmt w:val="lowerLetter"/>
      <w:lvlText w:val="%8)"/>
      <w:lvlJc w:val="left"/>
      <w:pPr>
        <w:ind w:left="3764" w:hanging="420"/>
      </w:pPr>
    </w:lvl>
    <w:lvl w:ilvl="8">
      <w:start w:val="1"/>
      <w:numFmt w:val="lowerRoman"/>
      <w:lvlText w:val="%9."/>
      <w:lvlJc w:val="right"/>
      <w:pPr>
        <w:ind w:left="41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BD"/>
    <w:rsid w:val="007F7CBD"/>
    <w:rsid w:val="008B33D9"/>
    <w:rsid w:val="00E1410A"/>
    <w:rsid w:val="00E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D9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3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33D9"/>
    <w:rPr>
      <w:sz w:val="18"/>
      <w:szCs w:val="18"/>
    </w:rPr>
  </w:style>
  <w:style w:type="paragraph" w:styleId="a5">
    <w:name w:val="Plain Text"/>
    <w:basedOn w:val="a"/>
    <w:link w:val="Char1"/>
    <w:qFormat/>
    <w:rsid w:val="008B33D9"/>
    <w:rPr>
      <w:rFonts w:ascii="宋体" w:hAnsi="Courier New"/>
      <w:szCs w:val="21"/>
    </w:rPr>
  </w:style>
  <w:style w:type="character" w:customStyle="1" w:styleId="Char2">
    <w:name w:val="纯文本 Char"/>
    <w:basedOn w:val="a0"/>
    <w:uiPriority w:val="99"/>
    <w:semiHidden/>
    <w:rsid w:val="008B33D9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qFormat/>
    <w:locked/>
    <w:rsid w:val="008B33D9"/>
    <w:rPr>
      <w:rFonts w:ascii="宋体" w:eastAsia="宋体" w:hAnsi="Courier New" w:cs="Times New Roman"/>
      <w:szCs w:val="21"/>
    </w:rPr>
  </w:style>
  <w:style w:type="paragraph" w:styleId="a6">
    <w:name w:val="List Paragraph"/>
    <w:basedOn w:val="a"/>
    <w:link w:val="Char3"/>
    <w:uiPriority w:val="34"/>
    <w:qFormat/>
    <w:rsid w:val="008B33D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3">
    <w:name w:val="列出段落 Char"/>
    <w:link w:val="a6"/>
    <w:uiPriority w:val="34"/>
    <w:qFormat/>
    <w:locked/>
    <w:rsid w:val="008B33D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D9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3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33D9"/>
    <w:rPr>
      <w:sz w:val="18"/>
      <w:szCs w:val="18"/>
    </w:rPr>
  </w:style>
  <w:style w:type="paragraph" w:styleId="a5">
    <w:name w:val="Plain Text"/>
    <w:basedOn w:val="a"/>
    <w:link w:val="Char1"/>
    <w:qFormat/>
    <w:rsid w:val="008B33D9"/>
    <w:rPr>
      <w:rFonts w:ascii="宋体" w:hAnsi="Courier New"/>
      <w:szCs w:val="21"/>
    </w:rPr>
  </w:style>
  <w:style w:type="character" w:customStyle="1" w:styleId="Char2">
    <w:name w:val="纯文本 Char"/>
    <w:basedOn w:val="a0"/>
    <w:uiPriority w:val="99"/>
    <w:semiHidden/>
    <w:rsid w:val="008B33D9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qFormat/>
    <w:locked/>
    <w:rsid w:val="008B33D9"/>
    <w:rPr>
      <w:rFonts w:ascii="宋体" w:eastAsia="宋体" w:hAnsi="Courier New" w:cs="Times New Roman"/>
      <w:szCs w:val="21"/>
    </w:rPr>
  </w:style>
  <w:style w:type="paragraph" w:styleId="a6">
    <w:name w:val="List Paragraph"/>
    <w:basedOn w:val="a"/>
    <w:link w:val="Char3"/>
    <w:uiPriority w:val="34"/>
    <w:qFormat/>
    <w:rsid w:val="008B33D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3">
    <w:name w:val="列出段落 Char"/>
    <w:link w:val="a6"/>
    <w:uiPriority w:val="34"/>
    <w:qFormat/>
    <w:locked/>
    <w:rsid w:val="008B33D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Sky123.Org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杨宜学</dc:creator>
  <cp:keywords/>
  <dc:description/>
  <cp:lastModifiedBy>杨宜学</cp:lastModifiedBy>
  <cp:revision>2</cp:revision>
  <dcterms:created xsi:type="dcterms:W3CDTF">2020-01-17T02:07:00Z</dcterms:created>
  <dcterms:modified xsi:type="dcterms:W3CDTF">2020-01-17T02:08:00Z</dcterms:modified>
</cp:coreProperties>
</file>