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6864" w:rsidRDefault="00A62A52">
      <w:pPr>
        <w:spacing w:line="400" w:lineRule="exact"/>
        <w:rPr>
          <w:rFonts w:ascii="仿宋" w:eastAsia="仿宋" w:hAnsi="仿宋" w:cs="仿宋"/>
          <w:b/>
          <w:sz w:val="24"/>
        </w:rPr>
      </w:pPr>
      <w:r>
        <w:rPr>
          <w:rFonts w:asciiTheme="minorEastAsia" w:eastAsiaTheme="minorEastAsia" w:hAnsiTheme="minorEastAsia" w:hint="eastAsia"/>
          <w:b/>
          <w:szCs w:val="21"/>
        </w:rPr>
        <w:t>附件1：货物需求一览表</w:t>
      </w:r>
    </w:p>
    <w:p w:rsidR="00426864" w:rsidRDefault="00A62A52">
      <w:pPr>
        <w:spacing w:line="400" w:lineRule="exact"/>
        <w:jc w:val="center"/>
        <w:rPr>
          <w:rFonts w:ascii="仿宋" w:eastAsia="仿宋" w:hAnsi="仿宋" w:cs="仿宋"/>
          <w:b/>
          <w:sz w:val="24"/>
        </w:rPr>
      </w:pPr>
      <w:r>
        <w:rPr>
          <w:rFonts w:ascii="仿宋" w:eastAsia="仿宋" w:hAnsi="仿宋" w:cs="仿宋" w:hint="eastAsia"/>
          <w:b/>
          <w:sz w:val="24"/>
        </w:rPr>
        <w:t>桂林市中西医结合医院DRG综合评价管理系统参数-20230414V1.0</w:t>
      </w:r>
    </w:p>
    <w:p w:rsidR="00426864" w:rsidRDefault="00A62A52">
      <w:pPr>
        <w:spacing w:line="360" w:lineRule="auto"/>
        <w:rPr>
          <w:rFonts w:ascii="仿宋" w:eastAsia="仿宋" w:hAnsi="仿宋" w:cs="仿宋"/>
          <w:b/>
          <w:sz w:val="24"/>
        </w:rPr>
      </w:pPr>
      <w:r>
        <w:rPr>
          <w:rFonts w:ascii="仿宋" w:eastAsia="仿宋" w:hAnsi="仿宋" w:cs="仿宋" w:hint="eastAsia"/>
          <w:b/>
          <w:sz w:val="24"/>
        </w:rPr>
        <w:t>说明：</w:t>
      </w:r>
    </w:p>
    <w:p w:rsidR="00426864" w:rsidRDefault="00A62A52">
      <w:pPr>
        <w:spacing w:line="360" w:lineRule="auto"/>
        <w:ind w:leftChars="-5" w:left="-10" w:rightChars="1" w:right="2" w:firstLineChars="200" w:firstLine="482"/>
        <w:rPr>
          <w:rFonts w:ascii="仿宋" w:eastAsia="仿宋" w:hAnsi="仿宋" w:cs="仿宋"/>
          <w:b/>
          <w:sz w:val="24"/>
        </w:rPr>
      </w:pPr>
      <w:r>
        <w:rPr>
          <w:rFonts w:ascii="仿宋" w:eastAsia="仿宋" w:hAnsi="仿宋" w:cs="仿宋" w:hint="eastAsia"/>
          <w:b/>
          <w:sz w:val="24"/>
        </w:rPr>
        <w:t>1、询价文件中打★号的条款均为实质性要求或条件，必须满足，否则参询无效。</w:t>
      </w:r>
    </w:p>
    <w:p w:rsidR="00426864" w:rsidRDefault="00A62A52">
      <w:pPr>
        <w:spacing w:line="360" w:lineRule="auto"/>
        <w:ind w:leftChars="-5" w:left="-10" w:rightChars="1" w:right="2" w:firstLineChars="200" w:firstLine="482"/>
        <w:rPr>
          <w:rFonts w:ascii="仿宋" w:eastAsia="仿宋" w:hAnsi="仿宋" w:cs="仿宋"/>
          <w:b/>
          <w:sz w:val="24"/>
        </w:rPr>
      </w:pPr>
      <w:r>
        <w:rPr>
          <w:rFonts w:ascii="仿宋" w:eastAsia="仿宋" w:hAnsi="仿宋" w:cs="仿宋" w:hint="eastAsia"/>
          <w:b/>
          <w:sz w:val="24"/>
        </w:rPr>
        <w:t>2、参询人所参询货物或服务如国家有强制性要求的按国家规定执行，并提供相关证明材料。若执行标准有修改或更新按最新版本执行。</w:t>
      </w:r>
    </w:p>
    <w:p w:rsidR="00426864" w:rsidRDefault="00426864">
      <w:pPr>
        <w:pStyle w:val="a0"/>
        <w:rPr>
          <w:rFonts w:ascii="仿宋" w:eastAsia="仿宋" w:hAnsi="仿宋" w:cs="仿宋"/>
          <w:b/>
        </w:rPr>
      </w:pPr>
    </w:p>
    <w:p w:rsidR="00426864" w:rsidRDefault="00426864">
      <w:pPr>
        <w:pStyle w:val="a0"/>
        <w:rPr>
          <w:rFonts w:ascii="仿宋" w:eastAsia="仿宋" w:hAnsi="仿宋" w:cs="仿宋"/>
          <w:b/>
        </w:rPr>
      </w:pPr>
    </w:p>
    <w:tbl>
      <w:tblPr>
        <w:tblStyle w:val="af8"/>
        <w:tblW w:w="0" w:type="auto"/>
        <w:tblLayout w:type="fixed"/>
        <w:tblLook w:val="04A0" w:firstRow="1" w:lastRow="0" w:firstColumn="1" w:lastColumn="0" w:noHBand="0" w:noVBand="1"/>
      </w:tblPr>
      <w:tblGrid>
        <w:gridCol w:w="464"/>
        <w:gridCol w:w="622"/>
        <w:gridCol w:w="938"/>
        <w:gridCol w:w="6951"/>
        <w:gridCol w:w="879"/>
      </w:tblGrid>
      <w:tr w:rsidR="00426864">
        <w:trPr>
          <w:trHeight w:val="1015"/>
        </w:trPr>
        <w:tc>
          <w:tcPr>
            <w:tcW w:w="464" w:type="dxa"/>
          </w:tcPr>
          <w:p w:rsidR="00426864" w:rsidRDefault="00A62A52">
            <w:r>
              <w:rPr>
                <w:rFonts w:hint="eastAsia"/>
              </w:rPr>
              <w:t>采购内容</w:t>
            </w:r>
          </w:p>
        </w:tc>
        <w:tc>
          <w:tcPr>
            <w:tcW w:w="622" w:type="dxa"/>
            <w:vAlign w:val="center"/>
          </w:tcPr>
          <w:p w:rsidR="00426864" w:rsidRDefault="00A62A52">
            <w:pPr>
              <w:pStyle w:val="12"/>
              <w:ind w:firstLineChars="0" w:firstLine="0"/>
              <w:jc w:val="center"/>
            </w:pPr>
            <w:r>
              <w:rPr>
                <w:rFonts w:hint="eastAsia"/>
                <w:b w:val="0"/>
                <w:bCs w:val="0"/>
                <w:sz w:val="21"/>
                <w:szCs w:val="21"/>
              </w:rPr>
              <w:t>数量</w:t>
            </w:r>
          </w:p>
        </w:tc>
        <w:tc>
          <w:tcPr>
            <w:tcW w:w="938" w:type="dxa"/>
            <w:vAlign w:val="center"/>
          </w:tcPr>
          <w:p w:rsidR="00426864" w:rsidRDefault="00A62A52">
            <w:pPr>
              <w:pStyle w:val="12"/>
              <w:ind w:firstLine="210"/>
              <w:jc w:val="center"/>
            </w:pPr>
            <w:r>
              <w:rPr>
                <w:rFonts w:hint="eastAsia"/>
                <w:b w:val="0"/>
                <w:bCs w:val="0"/>
                <w:sz w:val="21"/>
                <w:szCs w:val="21"/>
              </w:rPr>
              <w:t>功能</w:t>
            </w:r>
          </w:p>
        </w:tc>
        <w:tc>
          <w:tcPr>
            <w:tcW w:w="6951" w:type="dxa"/>
            <w:vAlign w:val="center"/>
          </w:tcPr>
          <w:p w:rsidR="00426864" w:rsidRDefault="00A62A52">
            <w:pPr>
              <w:pStyle w:val="12"/>
              <w:ind w:firstLine="210"/>
              <w:jc w:val="center"/>
            </w:pPr>
            <w:r>
              <w:rPr>
                <w:rFonts w:hint="eastAsia"/>
                <w:b w:val="0"/>
                <w:bCs w:val="0"/>
                <w:sz w:val="21"/>
                <w:szCs w:val="21"/>
              </w:rPr>
              <w:t>说明及要求</w:t>
            </w:r>
          </w:p>
        </w:tc>
        <w:tc>
          <w:tcPr>
            <w:tcW w:w="879" w:type="dxa"/>
            <w:vAlign w:val="center"/>
          </w:tcPr>
          <w:p w:rsidR="00426864" w:rsidRDefault="00A62A52">
            <w:pPr>
              <w:pStyle w:val="12"/>
              <w:ind w:firstLine="210"/>
              <w:jc w:val="center"/>
            </w:pPr>
            <w:r>
              <w:rPr>
                <w:rFonts w:hint="eastAsia"/>
                <w:b w:val="0"/>
                <w:bCs w:val="0"/>
                <w:sz w:val="21"/>
                <w:szCs w:val="21"/>
              </w:rPr>
              <w:t>报价</w:t>
            </w:r>
          </w:p>
        </w:tc>
      </w:tr>
      <w:tr w:rsidR="00426864">
        <w:tc>
          <w:tcPr>
            <w:tcW w:w="464" w:type="dxa"/>
            <w:vMerge w:val="restart"/>
            <w:vAlign w:val="center"/>
          </w:tcPr>
          <w:p w:rsidR="00426864" w:rsidRDefault="00426864"/>
          <w:p w:rsidR="00426864" w:rsidRDefault="00A62A52">
            <w:pPr>
              <w:jc w:val="center"/>
            </w:pPr>
            <w:r>
              <w:rPr>
                <w:rFonts w:hint="eastAsia"/>
              </w:rPr>
              <w:t>DRG</w:t>
            </w:r>
            <w:r>
              <w:rPr>
                <w:rFonts w:hint="eastAsia"/>
              </w:rPr>
              <w:t>综合评价管理系统</w:t>
            </w:r>
          </w:p>
        </w:tc>
        <w:tc>
          <w:tcPr>
            <w:tcW w:w="622" w:type="dxa"/>
            <w:vMerge w:val="restart"/>
            <w:vAlign w:val="center"/>
          </w:tcPr>
          <w:p w:rsidR="00426864" w:rsidRDefault="00A62A52">
            <w:pPr>
              <w:pStyle w:val="12"/>
              <w:ind w:firstLineChars="0" w:firstLine="0"/>
              <w:jc w:val="center"/>
            </w:pPr>
            <w:r>
              <w:rPr>
                <w:rFonts w:hint="eastAsia"/>
                <w:b w:val="0"/>
                <w:bCs w:val="0"/>
              </w:rPr>
              <w:t>一套</w:t>
            </w:r>
          </w:p>
        </w:tc>
        <w:tc>
          <w:tcPr>
            <w:tcW w:w="938" w:type="dxa"/>
            <w:vMerge w:val="restart"/>
          </w:tcPr>
          <w:p w:rsidR="00426864" w:rsidRDefault="00A62A52">
            <w:pPr>
              <w:pStyle w:val="12"/>
              <w:ind w:firstLineChars="0" w:firstLine="0"/>
            </w:pPr>
            <w:r>
              <w:rPr>
                <w:rFonts w:hint="eastAsia"/>
                <w:b w:val="0"/>
                <w:bCs w:val="0"/>
                <w:sz w:val="21"/>
                <w:szCs w:val="21"/>
              </w:rPr>
              <w:t>1.DRG分组智能检测预警系统</w:t>
            </w:r>
          </w:p>
        </w:tc>
        <w:tc>
          <w:tcPr>
            <w:tcW w:w="6951" w:type="dxa"/>
          </w:tcPr>
          <w:p w:rsidR="00426864" w:rsidRDefault="00A62A52">
            <w:pPr>
              <w:pStyle w:val="12"/>
              <w:ind w:firstLineChars="0" w:firstLine="0"/>
              <w:rPr>
                <w:sz w:val="21"/>
                <w:szCs w:val="21"/>
              </w:rPr>
            </w:pPr>
            <w:r>
              <w:rPr>
                <w:rFonts w:hint="eastAsia"/>
                <w:sz w:val="21"/>
                <w:szCs w:val="21"/>
              </w:rPr>
              <w:t>1.1、在院病例DRG分组预测预警</w:t>
            </w:r>
          </w:p>
          <w:p w:rsidR="00426864" w:rsidRDefault="00A62A52">
            <w:pPr>
              <w:pStyle w:val="12"/>
              <w:ind w:firstLineChars="0" w:firstLine="0"/>
              <w:rPr>
                <w:b w:val="0"/>
                <w:bCs w:val="0"/>
                <w:sz w:val="21"/>
                <w:szCs w:val="21"/>
              </w:rPr>
            </w:pPr>
            <w:r>
              <w:rPr>
                <w:rFonts w:hint="eastAsia"/>
                <w:b w:val="0"/>
                <w:bCs w:val="0"/>
                <w:sz w:val="21"/>
                <w:szCs w:val="21"/>
              </w:rPr>
              <w:t>（1）病案信息查询：病案信息体现在院病例的主要诊疗信息，对明细费用大类实时费用汇总及占比查询，展现明细分析详情，及时追溯超支科室或医师，并提供病例预警值结果。</w:t>
            </w:r>
          </w:p>
          <w:p w:rsidR="00426864" w:rsidRDefault="00A62A52">
            <w:pPr>
              <w:pStyle w:val="12"/>
              <w:ind w:firstLineChars="0" w:firstLine="0"/>
              <w:rPr>
                <w:b w:val="0"/>
                <w:bCs w:val="0"/>
                <w:sz w:val="21"/>
                <w:szCs w:val="21"/>
              </w:rPr>
            </w:pPr>
            <w:r>
              <w:rPr>
                <w:rFonts w:hint="eastAsia"/>
                <w:b w:val="0"/>
                <w:bCs w:val="0"/>
                <w:sz w:val="21"/>
                <w:szCs w:val="21"/>
              </w:rPr>
              <w:t>（2）实时动态分组：根据住院的诊疗信息预测分组结果，并建立本地政策规则，应用算法实现模拟分配，形成分组和风险预警机制，通过数据可视化实现精细化管理。</w:t>
            </w:r>
          </w:p>
          <w:p w:rsidR="00426864" w:rsidRDefault="00A62A52">
            <w:pPr>
              <w:pStyle w:val="12"/>
              <w:ind w:firstLineChars="0" w:firstLine="0"/>
              <w:rPr>
                <w:b w:val="0"/>
                <w:bCs w:val="0"/>
                <w:sz w:val="21"/>
                <w:szCs w:val="21"/>
              </w:rPr>
            </w:pPr>
            <w:r>
              <w:rPr>
                <w:rFonts w:hint="eastAsia"/>
                <w:b w:val="0"/>
                <w:bCs w:val="0"/>
                <w:sz w:val="21"/>
                <w:szCs w:val="21"/>
              </w:rPr>
              <w:t>（3）目标预测分组：医生可通过临床经验，精准检索定位DRG编码和DRG名称，查看指定DRG分组所对应的标杆参考信息及模拟结算结果，与预测分组进行补充或对比。</w:t>
            </w:r>
          </w:p>
          <w:p w:rsidR="00426864" w:rsidRDefault="00A62A52">
            <w:pPr>
              <w:pStyle w:val="12"/>
              <w:ind w:firstLineChars="0" w:firstLine="0"/>
            </w:pPr>
            <w:r>
              <w:rPr>
                <w:rFonts w:hint="eastAsia"/>
                <w:color w:val="FF0000"/>
                <w:sz w:val="21"/>
                <w:szCs w:val="21"/>
              </w:rPr>
              <w:t>★</w:t>
            </w:r>
            <w:r>
              <w:rPr>
                <w:rFonts w:hint="eastAsia"/>
                <w:b w:val="0"/>
                <w:bCs w:val="0"/>
                <w:sz w:val="21"/>
                <w:szCs w:val="21"/>
              </w:rPr>
              <w:t>（4）大数据相似入组：列出现有诊疗信息下所有可能的入组结果（含未发生主手术时的所有手术操作入组结果）及主要的标杆值信息，并能够与DRG目标预测分组功能关联应用。</w:t>
            </w:r>
            <w:r>
              <w:rPr>
                <w:rFonts w:hint="eastAsia"/>
                <w:color w:val="FF0000"/>
                <w:szCs w:val="21"/>
              </w:rPr>
              <w:t>(</w:t>
            </w:r>
            <w:r>
              <w:rPr>
                <w:rFonts w:cs="Calibri" w:hint="eastAsia"/>
                <w:color w:val="FF0000"/>
                <w:szCs w:val="21"/>
              </w:rPr>
              <w:t>提供此功能软件界面截图并加盖参询人公章)</w:t>
            </w:r>
          </w:p>
        </w:tc>
        <w:tc>
          <w:tcPr>
            <w:tcW w:w="879" w:type="dxa"/>
            <w:vMerge w:val="restart"/>
            <w:vAlign w:val="center"/>
          </w:tcPr>
          <w:p w:rsidR="00426864" w:rsidRDefault="00A62A52">
            <w:pPr>
              <w:pStyle w:val="12"/>
              <w:ind w:firstLineChars="0" w:firstLine="0"/>
              <w:jc w:val="center"/>
              <w:rPr>
                <w:b w:val="0"/>
                <w:bCs w:val="0"/>
                <w:sz w:val="21"/>
                <w:szCs w:val="21"/>
              </w:rPr>
            </w:pPr>
            <w:r>
              <w:rPr>
                <w:rFonts w:hint="eastAsia"/>
                <w:b w:val="0"/>
                <w:bCs w:val="0"/>
                <w:sz w:val="21"/>
                <w:szCs w:val="21"/>
              </w:rPr>
              <w:t>108</w:t>
            </w:r>
          </w:p>
          <w:p w:rsidR="00426864" w:rsidRDefault="00A62A52">
            <w:pPr>
              <w:pStyle w:val="12"/>
              <w:ind w:firstLineChars="0" w:firstLine="0"/>
              <w:jc w:val="center"/>
            </w:pPr>
            <w:r>
              <w:rPr>
                <w:rFonts w:hint="eastAsia"/>
                <w:b w:val="0"/>
                <w:bCs w:val="0"/>
                <w:sz w:val="21"/>
                <w:szCs w:val="21"/>
              </w:rPr>
              <w:t>万元</w:t>
            </w:r>
          </w:p>
        </w:tc>
      </w:tr>
      <w:tr w:rsidR="00426864">
        <w:tc>
          <w:tcPr>
            <w:tcW w:w="464" w:type="dxa"/>
            <w:vMerge/>
          </w:tcPr>
          <w:p w:rsidR="00426864" w:rsidRDefault="00426864">
            <w:pPr>
              <w:pStyle w:val="12"/>
              <w:ind w:firstLine="241"/>
            </w:pPr>
          </w:p>
        </w:tc>
        <w:tc>
          <w:tcPr>
            <w:tcW w:w="622" w:type="dxa"/>
            <w:vMerge/>
          </w:tcPr>
          <w:p w:rsidR="00426864" w:rsidRDefault="00426864">
            <w:pPr>
              <w:pStyle w:val="12"/>
              <w:ind w:firstLine="241"/>
            </w:pPr>
          </w:p>
        </w:tc>
        <w:tc>
          <w:tcPr>
            <w:tcW w:w="938" w:type="dxa"/>
            <w:vMerge/>
          </w:tcPr>
          <w:p w:rsidR="00426864" w:rsidRDefault="00426864">
            <w:pPr>
              <w:pStyle w:val="12"/>
              <w:ind w:firstLine="241"/>
            </w:pPr>
          </w:p>
        </w:tc>
        <w:tc>
          <w:tcPr>
            <w:tcW w:w="6951" w:type="dxa"/>
          </w:tcPr>
          <w:p w:rsidR="00426864" w:rsidRDefault="00A62A52">
            <w:pPr>
              <w:pStyle w:val="12"/>
              <w:ind w:firstLineChars="0" w:firstLine="0"/>
              <w:rPr>
                <w:sz w:val="21"/>
                <w:szCs w:val="21"/>
              </w:rPr>
            </w:pPr>
            <w:r>
              <w:rPr>
                <w:rFonts w:hint="eastAsia"/>
                <w:sz w:val="21"/>
                <w:szCs w:val="21"/>
              </w:rPr>
              <w:t>1.2大数据模拟分组</w:t>
            </w:r>
          </w:p>
          <w:p w:rsidR="00426864" w:rsidRDefault="00A62A52">
            <w:pPr>
              <w:pStyle w:val="12"/>
              <w:ind w:firstLineChars="0" w:firstLine="0"/>
              <w:rPr>
                <w:rFonts w:cs="Calibri"/>
                <w:color w:val="FF0000"/>
                <w:szCs w:val="21"/>
              </w:rPr>
            </w:pPr>
            <w:r>
              <w:rPr>
                <w:rFonts w:hint="eastAsia"/>
                <w:b w:val="0"/>
                <w:bCs w:val="0"/>
                <w:sz w:val="21"/>
                <w:szCs w:val="21"/>
              </w:rPr>
              <w:t>（1）病案信息设置：含一键导入单条在院病例信息功能，并提供增加或修改病案信息权限。</w:t>
            </w:r>
          </w:p>
          <w:p w:rsidR="00426864" w:rsidRDefault="00A62A52">
            <w:pPr>
              <w:pStyle w:val="12"/>
              <w:ind w:firstLineChars="0" w:firstLine="0"/>
              <w:rPr>
                <w:rFonts w:cs="Calibri"/>
                <w:color w:val="FF0000"/>
                <w:szCs w:val="21"/>
              </w:rPr>
            </w:pPr>
            <w:r>
              <w:rPr>
                <w:rFonts w:ascii="仿宋" w:eastAsia="仿宋" w:hAnsi="仿宋" w:cs="仿宋" w:hint="eastAsia"/>
                <w:kern w:val="0"/>
              </w:rPr>
              <w:t>▲</w:t>
            </w:r>
            <w:r>
              <w:rPr>
                <w:rFonts w:hint="eastAsia"/>
                <w:b w:val="0"/>
                <w:bCs w:val="0"/>
                <w:sz w:val="21"/>
                <w:szCs w:val="21"/>
              </w:rPr>
              <w:t>（2）大数据入组分析：对模拟数据进行大数据模拟入组分析，并提供推荐入组及各项分组结果的主要标杆参考信息。</w:t>
            </w:r>
            <w:r>
              <w:rPr>
                <w:rFonts w:hint="eastAsia"/>
                <w:color w:val="FF0000"/>
                <w:szCs w:val="21"/>
              </w:rPr>
              <w:t>(</w:t>
            </w:r>
            <w:r>
              <w:rPr>
                <w:rFonts w:cs="Calibri" w:hint="eastAsia"/>
                <w:color w:val="FF0000"/>
                <w:szCs w:val="21"/>
              </w:rPr>
              <w:t>提供此功能软件界面截图并加盖参询人公章)</w:t>
            </w:r>
          </w:p>
          <w:p w:rsidR="00426864" w:rsidRDefault="00426864"/>
        </w:tc>
        <w:tc>
          <w:tcPr>
            <w:tcW w:w="879" w:type="dxa"/>
            <w:vMerge/>
          </w:tcPr>
          <w:p w:rsidR="00426864" w:rsidRDefault="00426864">
            <w:pPr>
              <w:pStyle w:val="12"/>
              <w:ind w:firstLine="241"/>
            </w:pPr>
          </w:p>
        </w:tc>
      </w:tr>
      <w:tr w:rsidR="00426864">
        <w:tc>
          <w:tcPr>
            <w:tcW w:w="464" w:type="dxa"/>
            <w:vMerge/>
          </w:tcPr>
          <w:p w:rsidR="00426864" w:rsidRDefault="00426864">
            <w:pPr>
              <w:pStyle w:val="12"/>
              <w:ind w:firstLine="241"/>
            </w:pPr>
          </w:p>
        </w:tc>
        <w:tc>
          <w:tcPr>
            <w:tcW w:w="622" w:type="dxa"/>
            <w:vMerge/>
          </w:tcPr>
          <w:p w:rsidR="00426864" w:rsidRDefault="00426864">
            <w:pPr>
              <w:pStyle w:val="12"/>
              <w:ind w:firstLine="241"/>
            </w:pPr>
          </w:p>
        </w:tc>
        <w:tc>
          <w:tcPr>
            <w:tcW w:w="938" w:type="dxa"/>
            <w:vMerge/>
          </w:tcPr>
          <w:p w:rsidR="00426864" w:rsidRDefault="00426864">
            <w:pPr>
              <w:pStyle w:val="12"/>
              <w:ind w:firstLine="241"/>
            </w:pPr>
          </w:p>
        </w:tc>
        <w:tc>
          <w:tcPr>
            <w:tcW w:w="6951" w:type="dxa"/>
          </w:tcPr>
          <w:p w:rsidR="00426864" w:rsidRDefault="00A62A52">
            <w:pPr>
              <w:pStyle w:val="12"/>
              <w:ind w:firstLineChars="0" w:firstLine="0"/>
              <w:rPr>
                <w:sz w:val="21"/>
                <w:szCs w:val="21"/>
              </w:rPr>
            </w:pPr>
            <w:r>
              <w:rPr>
                <w:rFonts w:hint="eastAsia"/>
                <w:sz w:val="21"/>
                <w:szCs w:val="21"/>
              </w:rPr>
              <w:t>1.3同病组对比分析</w:t>
            </w:r>
          </w:p>
          <w:p w:rsidR="00426864" w:rsidRDefault="00A62A52">
            <w:pPr>
              <w:pStyle w:val="12"/>
              <w:ind w:firstLineChars="0" w:firstLine="0"/>
            </w:pPr>
            <w:r>
              <w:rPr>
                <w:rFonts w:hint="eastAsia"/>
                <w:b w:val="0"/>
                <w:bCs w:val="0"/>
                <w:sz w:val="21"/>
                <w:szCs w:val="21"/>
              </w:rPr>
              <w:t>（1）出院病例数据分析：与实时动态分组结果联动，展示相同病组下出院病例的总体结算差异分析及时间序列趋势分析。</w:t>
            </w:r>
          </w:p>
        </w:tc>
        <w:tc>
          <w:tcPr>
            <w:tcW w:w="879" w:type="dxa"/>
            <w:vMerge/>
          </w:tcPr>
          <w:p w:rsidR="00426864" w:rsidRDefault="00426864">
            <w:pPr>
              <w:pStyle w:val="12"/>
              <w:ind w:firstLine="241"/>
            </w:pPr>
          </w:p>
        </w:tc>
      </w:tr>
      <w:tr w:rsidR="00426864">
        <w:tc>
          <w:tcPr>
            <w:tcW w:w="464" w:type="dxa"/>
            <w:vMerge/>
          </w:tcPr>
          <w:p w:rsidR="00426864" w:rsidRDefault="00426864">
            <w:pPr>
              <w:pStyle w:val="12"/>
              <w:ind w:firstLine="241"/>
            </w:pPr>
          </w:p>
        </w:tc>
        <w:tc>
          <w:tcPr>
            <w:tcW w:w="622" w:type="dxa"/>
            <w:vMerge/>
          </w:tcPr>
          <w:p w:rsidR="00426864" w:rsidRDefault="00426864">
            <w:pPr>
              <w:pStyle w:val="12"/>
              <w:ind w:firstLine="241"/>
            </w:pPr>
          </w:p>
        </w:tc>
        <w:tc>
          <w:tcPr>
            <w:tcW w:w="938" w:type="dxa"/>
            <w:vMerge w:val="restart"/>
          </w:tcPr>
          <w:p w:rsidR="00426864" w:rsidRDefault="00A62A52">
            <w:pPr>
              <w:pStyle w:val="12"/>
              <w:ind w:firstLineChars="0" w:firstLine="0"/>
            </w:pPr>
            <w:r>
              <w:rPr>
                <w:rFonts w:hint="eastAsia"/>
                <w:b w:val="0"/>
                <w:bCs w:val="0"/>
                <w:sz w:val="21"/>
                <w:szCs w:val="21"/>
              </w:rPr>
              <w:t>2. DRG医院智</w:t>
            </w:r>
            <w:r>
              <w:rPr>
                <w:rFonts w:hint="eastAsia"/>
                <w:b w:val="0"/>
                <w:bCs w:val="0"/>
                <w:sz w:val="21"/>
                <w:szCs w:val="21"/>
              </w:rPr>
              <w:lastRenderedPageBreak/>
              <w:t>能管理系统</w:t>
            </w:r>
          </w:p>
        </w:tc>
        <w:tc>
          <w:tcPr>
            <w:tcW w:w="6951" w:type="dxa"/>
          </w:tcPr>
          <w:p w:rsidR="00426864" w:rsidRDefault="00A62A52">
            <w:pPr>
              <w:pStyle w:val="12"/>
              <w:ind w:firstLineChars="0" w:firstLine="0"/>
              <w:rPr>
                <w:sz w:val="21"/>
                <w:szCs w:val="21"/>
              </w:rPr>
            </w:pPr>
            <w:r>
              <w:rPr>
                <w:rFonts w:hint="eastAsia"/>
                <w:sz w:val="21"/>
                <w:szCs w:val="21"/>
              </w:rPr>
              <w:lastRenderedPageBreak/>
              <w:t>2.1全局监控</w:t>
            </w:r>
          </w:p>
          <w:p w:rsidR="00426864" w:rsidRDefault="00A62A52">
            <w:pPr>
              <w:pStyle w:val="12"/>
              <w:ind w:firstLineChars="0" w:firstLine="0"/>
            </w:pPr>
            <w:r>
              <w:rPr>
                <w:rFonts w:hint="eastAsia"/>
                <w:b w:val="0"/>
                <w:bCs w:val="0"/>
                <w:sz w:val="21"/>
                <w:szCs w:val="21"/>
              </w:rPr>
              <w:t>（1）包括分组效能分析、结算差异分析、监控预警和服务绩效及分配。对</w:t>
            </w:r>
            <w:r>
              <w:rPr>
                <w:rFonts w:hint="eastAsia"/>
                <w:b w:val="0"/>
                <w:bCs w:val="0"/>
                <w:sz w:val="21"/>
                <w:szCs w:val="21"/>
              </w:rPr>
              <w:lastRenderedPageBreak/>
              <w:t>系统各个子系统重点指标及维度进行综合展示，快速定位分组效能、结算差异、费用差异结构主因、监控预警、绩效评价及分配等关键。综合性多规则判定，智能提醒；重点问题实时追踪，交互操作。</w:t>
            </w:r>
          </w:p>
        </w:tc>
        <w:tc>
          <w:tcPr>
            <w:tcW w:w="879" w:type="dxa"/>
            <w:vMerge/>
          </w:tcPr>
          <w:p w:rsidR="00426864" w:rsidRDefault="00426864">
            <w:pPr>
              <w:pStyle w:val="12"/>
              <w:ind w:firstLine="241"/>
            </w:pPr>
          </w:p>
        </w:tc>
      </w:tr>
      <w:tr w:rsidR="00426864">
        <w:tc>
          <w:tcPr>
            <w:tcW w:w="464" w:type="dxa"/>
            <w:vMerge/>
          </w:tcPr>
          <w:p w:rsidR="00426864" w:rsidRDefault="00426864">
            <w:pPr>
              <w:pStyle w:val="12"/>
              <w:ind w:firstLine="241"/>
            </w:pPr>
          </w:p>
        </w:tc>
        <w:tc>
          <w:tcPr>
            <w:tcW w:w="622" w:type="dxa"/>
            <w:vMerge/>
          </w:tcPr>
          <w:p w:rsidR="00426864" w:rsidRDefault="00426864">
            <w:pPr>
              <w:pStyle w:val="12"/>
              <w:ind w:firstLine="241"/>
            </w:pPr>
          </w:p>
        </w:tc>
        <w:tc>
          <w:tcPr>
            <w:tcW w:w="938" w:type="dxa"/>
            <w:vMerge/>
          </w:tcPr>
          <w:p w:rsidR="00426864" w:rsidRDefault="00426864">
            <w:pPr>
              <w:pStyle w:val="12"/>
              <w:ind w:firstLine="241"/>
            </w:pPr>
          </w:p>
        </w:tc>
        <w:tc>
          <w:tcPr>
            <w:tcW w:w="6951" w:type="dxa"/>
          </w:tcPr>
          <w:p w:rsidR="00426864" w:rsidRDefault="00A62A52">
            <w:pPr>
              <w:pStyle w:val="12"/>
              <w:ind w:firstLineChars="0" w:firstLine="0"/>
              <w:rPr>
                <w:sz w:val="21"/>
                <w:szCs w:val="21"/>
              </w:rPr>
            </w:pPr>
            <w:r>
              <w:rPr>
                <w:rFonts w:hint="eastAsia"/>
                <w:sz w:val="21"/>
                <w:szCs w:val="21"/>
              </w:rPr>
              <w:t>2.2差异分析</w:t>
            </w:r>
          </w:p>
          <w:p w:rsidR="00426864" w:rsidRDefault="00A62A52">
            <w:pPr>
              <w:pStyle w:val="12"/>
              <w:ind w:firstLineChars="0" w:firstLine="0"/>
              <w:rPr>
                <w:b w:val="0"/>
                <w:bCs w:val="0"/>
                <w:sz w:val="21"/>
                <w:szCs w:val="21"/>
              </w:rPr>
            </w:pPr>
            <w:r>
              <w:rPr>
                <w:rFonts w:hint="eastAsia"/>
                <w:b w:val="0"/>
                <w:bCs w:val="0"/>
                <w:sz w:val="21"/>
                <w:szCs w:val="21"/>
              </w:rPr>
              <w:t>（1）总体汇总分析：整体超支结余走势分析、基金类型超支结余走势分析、差异分类、差异主因分析、差异贡献率分析。</w:t>
            </w:r>
          </w:p>
          <w:p w:rsidR="00426864" w:rsidRDefault="00A62A52">
            <w:pPr>
              <w:pStyle w:val="12"/>
              <w:ind w:firstLineChars="0" w:firstLine="0"/>
              <w:rPr>
                <w:b w:val="0"/>
                <w:bCs w:val="0"/>
                <w:sz w:val="21"/>
                <w:szCs w:val="21"/>
              </w:rPr>
            </w:pPr>
            <w:r>
              <w:rPr>
                <w:rFonts w:hint="eastAsia"/>
                <w:b w:val="0"/>
                <w:bCs w:val="0"/>
                <w:sz w:val="21"/>
                <w:szCs w:val="21"/>
              </w:rPr>
              <w:t>（2）统筹地区分析：统筹地区差异分类、差异主因分析、差异贡献率分析、时间序列趋势分析。</w:t>
            </w:r>
          </w:p>
          <w:p w:rsidR="00426864" w:rsidRDefault="00A62A52">
            <w:pPr>
              <w:pStyle w:val="12"/>
              <w:ind w:firstLineChars="0" w:firstLine="0"/>
              <w:rPr>
                <w:b w:val="0"/>
                <w:bCs w:val="0"/>
                <w:sz w:val="21"/>
                <w:szCs w:val="21"/>
              </w:rPr>
            </w:pPr>
            <w:r>
              <w:rPr>
                <w:rFonts w:hint="eastAsia"/>
                <w:b w:val="0"/>
                <w:bCs w:val="0"/>
                <w:sz w:val="21"/>
                <w:szCs w:val="21"/>
              </w:rPr>
              <w:t>（3）科室数据分析：科室差异贡献率分析、科室结余超支、科室差异主因分析、时间序列趋势分析。</w:t>
            </w:r>
          </w:p>
          <w:p w:rsidR="00426864" w:rsidRDefault="00A62A52">
            <w:pPr>
              <w:pStyle w:val="12"/>
              <w:ind w:firstLineChars="0" w:firstLine="0"/>
              <w:rPr>
                <w:b w:val="0"/>
                <w:bCs w:val="0"/>
                <w:sz w:val="21"/>
                <w:szCs w:val="21"/>
              </w:rPr>
            </w:pPr>
            <w:r>
              <w:rPr>
                <w:rFonts w:hint="eastAsia"/>
                <w:b w:val="0"/>
                <w:bCs w:val="0"/>
                <w:sz w:val="21"/>
                <w:szCs w:val="21"/>
              </w:rPr>
              <w:t>（4）主诊组数据分析：展示主诊组的结余超支占比、各主诊组下的时间序列结算差异及比例，超支结余主因追踪挖掘。</w:t>
            </w:r>
          </w:p>
          <w:p w:rsidR="00426864" w:rsidRDefault="00A62A52">
            <w:pPr>
              <w:pStyle w:val="12"/>
              <w:ind w:firstLineChars="0" w:firstLine="0"/>
              <w:rPr>
                <w:b w:val="0"/>
                <w:bCs w:val="0"/>
                <w:sz w:val="21"/>
                <w:szCs w:val="21"/>
              </w:rPr>
            </w:pPr>
            <w:r>
              <w:rPr>
                <w:rFonts w:hint="eastAsia"/>
                <w:b w:val="0"/>
                <w:bCs w:val="0"/>
                <w:sz w:val="21"/>
                <w:szCs w:val="21"/>
              </w:rPr>
              <w:t>（5）责任医生数据分析：展示责任医生结余超支占比、各责任医生的超支结余情况、差异主因汇总以及时间序列结算差异及比例。</w:t>
            </w:r>
          </w:p>
          <w:p w:rsidR="00426864" w:rsidRDefault="00A62A52">
            <w:pPr>
              <w:pStyle w:val="12"/>
              <w:ind w:firstLineChars="0" w:firstLine="0"/>
              <w:rPr>
                <w:b w:val="0"/>
                <w:bCs w:val="0"/>
                <w:sz w:val="21"/>
                <w:szCs w:val="21"/>
              </w:rPr>
            </w:pPr>
            <w:r>
              <w:rPr>
                <w:rFonts w:hint="eastAsia"/>
                <w:b w:val="0"/>
                <w:bCs w:val="0"/>
                <w:sz w:val="21"/>
                <w:szCs w:val="21"/>
              </w:rPr>
              <w:t>（6）病例类型分析：高低倍率的病例数和占比的趋势、各类病例的差异贡献度分析、不同倍率区间的病例数占比发展情况。</w:t>
            </w:r>
          </w:p>
          <w:p w:rsidR="00426864" w:rsidRDefault="00A62A52">
            <w:pPr>
              <w:pStyle w:val="12"/>
              <w:ind w:firstLineChars="0" w:firstLine="0"/>
              <w:rPr>
                <w:b w:val="0"/>
                <w:bCs w:val="0"/>
                <w:sz w:val="21"/>
                <w:szCs w:val="21"/>
              </w:rPr>
            </w:pPr>
            <w:r>
              <w:rPr>
                <w:rFonts w:hint="eastAsia"/>
                <w:b w:val="0"/>
                <w:bCs w:val="0"/>
                <w:sz w:val="21"/>
                <w:szCs w:val="21"/>
              </w:rPr>
              <w:t>（7）病组分析：不同层级下的结余超支情况、各病组的的结余超支主因、统筹地区、科室、主诊组、责任医生结算差异对比、总费用对比、次均费用对比、病例类型对比、费用结构差异主因对比。</w:t>
            </w:r>
          </w:p>
          <w:p w:rsidR="00426864" w:rsidRDefault="00A62A52">
            <w:pPr>
              <w:pStyle w:val="12"/>
              <w:ind w:firstLineChars="0" w:firstLine="0"/>
              <w:rPr>
                <w:b w:val="0"/>
                <w:bCs w:val="0"/>
                <w:sz w:val="21"/>
                <w:szCs w:val="21"/>
              </w:rPr>
            </w:pPr>
            <w:r>
              <w:rPr>
                <w:rFonts w:hint="eastAsia"/>
                <w:b w:val="0"/>
                <w:bCs w:val="0"/>
                <w:sz w:val="21"/>
                <w:szCs w:val="21"/>
              </w:rPr>
              <w:t>（8）MDC挖掘：重点MDC识别、MDC结算差异贡献度分析，MDC结算差异及比例分析、MDC横向对比分析。</w:t>
            </w:r>
          </w:p>
          <w:p w:rsidR="00426864" w:rsidRDefault="00A62A52">
            <w:pPr>
              <w:pStyle w:val="12"/>
              <w:ind w:firstLineChars="0" w:firstLine="0"/>
              <w:rPr>
                <w:b w:val="0"/>
                <w:bCs w:val="0"/>
                <w:sz w:val="21"/>
                <w:szCs w:val="21"/>
              </w:rPr>
            </w:pPr>
            <w:r>
              <w:rPr>
                <w:rFonts w:hint="eastAsia"/>
                <w:b w:val="0"/>
                <w:bCs w:val="0"/>
                <w:sz w:val="21"/>
                <w:szCs w:val="21"/>
              </w:rPr>
              <w:t>（9）ADRG挖掘：重点ADRG识别、结算差异同比环比、年度累计与月度预估分析、ADRG结算差异及比例分析、ADRG横向对比分析。</w:t>
            </w:r>
          </w:p>
          <w:p w:rsidR="00426864" w:rsidRDefault="00A62A52">
            <w:pPr>
              <w:rPr>
                <w:szCs w:val="21"/>
              </w:rPr>
            </w:pPr>
            <w:r>
              <w:rPr>
                <w:rFonts w:ascii="仿宋" w:eastAsia="仿宋" w:hAnsi="仿宋" w:cs="仿宋" w:hint="eastAsia"/>
                <w:kern w:val="0"/>
                <w:sz w:val="24"/>
              </w:rPr>
              <w:t>▲</w:t>
            </w:r>
            <w:r>
              <w:rPr>
                <w:rFonts w:hint="eastAsia"/>
                <w:szCs w:val="21"/>
              </w:rPr>
              <w:t>（</w:t>
            </w:r>
            <w:r>
              <w:rPr>
                <w:rFonts w:hint="eastAsia"/>
                <w:szCs w:val="21"/>
              </w:rPr>
              <w:t>10</w:t>
            </w:r>
            <w:r>
              <w:rPr>
                <w:rFonts w:hint="eastAsia"/>
                <w:szCs w:val="21"/>
              </w:rPr>
              <w:t>）</w:t>
            </w:r>
            <w:r>
              <w:rPr>
                <w:rFonts w:hint="eastAsia"/>
                <w:szCs w:val="21"/>
              </w:rPr>
              <w:t>DRG</w:t>
            </w:r>
            <w:r>
              <w:rPr>
                <w:rFonts w:hint="eastAsia"/>
                <w:szCs w:val="21"/>
              </w:rPr>
              <w:t>挖掘：重点</w:t>
            </w:r>
            <w:r>
              <w:rPr>
                <w:rFonts w:hint="eastAsia"/>
                <w:szCs w:val="21"/>
              </w:rPr>
              <w:t>DRG</w:t>
            </w:r>
            <w:r>
              <w:rPr>
                <w:rFonts w:hint="eastAsia"/>
                <w:szCs w:val="21"/>
              </w:rPr>
              <w:t>识别、结算差异同比环比、年度累计与月度预估分析、</w:t>
            </w:r>
            <w:r>
              <w:rPr>
                <w:rFonts w:hint="eastAsia"/>
                <w:szCs w:val="21"/>
              </w:rPr>
              <w:t>DRG</w:t>
            </w:r>
            <w:r>
              <w:rPr>
                <w:rFonts w:hint="eastAsia"/>
                <w:szCs w:val="21"/>
              </w:rPr>
              <w:t>结算差异及比例分析、</w:t>
            </w:r>
            <w:r>
              <w:rPr>
                <w:rFonts w:hint="eastAsia"/>
                <w:szCs w:val="21"/>
              </w:rPr>
              <w:t>DRG</w:t>
            </w:r>
            <w:r>
              <w:rPr>
                <w:rFonts w:hint="eastAsia"/>
                <w:szCs w:val="21"/>
              </w:rPr>
              <w:t>横向对比分析。</w:t>
            </w:r>
          </w:p>
          <w:p w:rsidR="00426864" w:rsidRDefault="00A62A52">
            <w:pPr>
              <w:rPr>
                <w:rFonts w:ascii="宋体" w:hAnsi="宋体" w:cs="Calibri"/>
                <w:color w:val="FF0000"/>
                <w:szCs w:val="21"/>
              </w:rPr>
            </w:pPr>
            <w:r>
              <w:rPr>
                <w:rFonts w:ascii="宋体" w:hAnsi="宋体" w:hint="eastAsia"/>
                <w:color w:val="FF0000"/>
                <w:szCs w:val="21"/>
              </w:rPr>
              <w:t>(</w:t>
            </w:r>
            <w:r>
              <w:rPr>
                <w:rFonts w:ascii="宋体" w:hAnsi="宋体" w:cs="Calibri" w:hint="eastAsia"/>
                <w:color w:val="FF0000"/>
                <w:szCs w:val="21"/>
              </w:rPr>
              <w:t>提供此功能软件界面截图并加盖参询人公章)</w:t>
            </w:r>
          </w:p>
          <w:p w:rsidR="00426864" w:rsidRDefault="00A62A52">
            <w:pPr>
              <w:pStyle w:val="12"/>
              <w:ind w:firstLineChars="0" w:firstLine="0"/>
              <w:rPr>
                <w:b w:val="0"/>
                <w:bCs w:val="0"/>
                <w:sz w:val="21"/>
                <w:szCs w:val="21"/>
              </w:rPr>
            </w:pPr>
            <w:r>
              <w:rPr>
                <w:rFonts w:hint="eastAsia"/>
                <w:b w:val="0"/>
                <w:bCs w:val="0"/>
                <w:sz w:val="21"/>
                <w:szCs w:val="21"/>
              </w:rPr>
              <w:t>（11）明细挖掘：针对识别出的重点病组进行明细信息挖掘，与医院个性化病组费用结构标杆值进行对比，分析差异主因，快速有效定位合理控费关键。</w:t>
            </w:r>
          </w:p>
          <w:p w:rsidR="00426864" w:rsidRDefault="00426864"/>
        </w:tc>
        <w:tc>
          <w:tcPr>
            <w:tcW w:w="879" w:type="dxa"/>
            <w:vMerge/>
          </w:tcPr>
          <w:p w:rsidR="00426864" w:rsidRDefault="00426864">
            <w:pPr>
              <w:pStyle w:val="12"/>
              <w:ind w:firstLine="241"/>
            </w:pPr>
          </w:p>
        </w:tc>
      </w:tr>
      <w:tr w:rsidR="00426864">
        <w:tc>
          <w:tcPr>
            <w:tcW w:w="464" w:type="dxa"/>
            <w:vMerge/>
          </w:tcPr>
          <w:p w:rsidR="00426864" w:rsidRDefault="00426864">
            <w:pPr>
              <w:pStyle w:val="12"/>
              <w:ind w:firstLine="241"/>
            </w:pPr>
          </w:p>
        </w:tc>
        <w:tc>
          <w:tcPr>
            <w:tcW w:w="622" w:type="dxa"/>
            <w:vMerge/>
          </w:tcPr>
          <w:p w:rsidR="00426864" w:rsidRDefault="00426864">
            <w:pPr>
              <w:pStyle w:val="12"/>
              <w:ind w:firstLine="241"/>
            </w:pPr>
          </w:p>
        </w:tc>
        <w:tc>
          <w:tcPr>
            <w:tcW w:w="938" w:type="dxa"/>
            <w:vMerge/>
          </w:tcPr>
          <w:p w:rsidR="00426864" w:rsidRDefault="00426864">
            <w:pPr>
              <w:pStyle w:val="12"/>
              <w:ind w:firstLine="241"/>
            </w:pPr>
          </w:p>
        </w:tc>
        <w:tc>
          <w:tcPr>
            <w:tcW w:w="6951" w:type="dxa"/>
          </w:tcPr>
          <w:p w:rsidR="00426864" w:rsidRDefault="00A62A52">
            <w:pPr>
              <w:pStyle w:val="12"/>
              <w:ind w:firstLineChars="0" w:firstLine="0"/>
              <w:rPr>
                <w:sz w:val="21"/>
                <w:szCs w:val="21"/>
              </w:rPr>
            </w:pPr>
            <w:r>
              <w:rPr>
                <w:rFonts w:hint="eastAsia"/>
                <w:sz w:val="21"/>
                <w:szCs w:val="21"/>
              </w:rPr>
              <w:t>2.3监控预警</w:t>
            </w:r>
          </w:p>
          <w:p w:rsidR="00426864" w:rsidRDefault="00A62A52">
            <w:pPr>
              <w:pStyle w:val="12"/>
              <w:ind w:firstLineChars="0" w:firstLine="0"/>
              <w:rPr>
                <w:b w:val="0"/>
                <w:bCs w:val="0"/>
                <w:sz w:val="21"/>
                <w:szCs w:val="21"/>
              </w:rPr>
            </w:pPr>
            <w:r>
              <w:rPr>
                <w:rFonts w:hint="eastAsia"/>
                <w:b w:val="0"/>
                <w:bCs w:val="0"/>
                <w:sz w:val="21"/>
                <w:szCs w:val="21"/>
              </w:rPr>
              <w:t>（1）DRG综合比例风控预警模型：创建综合比例风控预警模型，针对年度及月度进行多维度指标监控。</w:t>
            </w:r>
          </w:p>
          <w:p w:rsidR="00426864" w:rsidRDefault="00A62A52">
            <w:pPr>
              <w:pStyle w:val="12"/>
              <w:ind w:firstLineChars="0" w:firstLine="0"/>
              <w:rPr>
                <w:b w:val="0"/>
                <w:bCs w:val="0"/>
                <w:sz w:val="21"/>
                <w:szCs w:val="21"/>
              </w:rPr>
            </w:pPr>
            <w:r>
              <w:rPr>
                <w:rFonts w:hint="eastAsia"/>
                <w:b w:val="0"/>
                <w:bCs w:val="0"/>
                <w:sz w:val="21"/>
                <w:szCs w:val="21"/>
              </w:rPr>
              <w:t>（2）病案填报预警：针对月度统计及年度累计两类时间维度下的病案首页诊断及手术填报情况实时汇总分析，并依据全国及区域大数据标杆值对其进行风险等级判定，预警提示可能存在的风险。</w:t>
            </w:r>
          </w:p>
          <w:p w:rsidR="00426864" w:rsidRDefault="00A62A52">
            <w:pPr>
              <w:pStyle w:val="12"/>
              <w:ind w:firstLineChars="0" w:firstLine="0"/>
              <w:rPr>
                <w:b w:val="0"/>
                <w:bCs w:val="0"/>
                <w:sz w:val="21"/>
                <w:szCs w:val="21"/>
              </w:rPr>
            </w:pPr>
            <w:r>
              <w:rPr>
                <w:rFonts w:hint="eastAsia"/>
                <w:b w:val="0"/>
                <w:bCs w:val="0"/>
                <w:sz w:val="21"/>
                <w:szCs w:val="21"/>
              </w:rPr>
              <w:t>（3）推诿重症预警：根据全国及区域大数据，结合医院实际情况，创建重症风险预警模型、权重风控预警模型，实时动态监测预警提醒，及时发现及降低推诿重症风险。</w:t>
            </w:r>
          </w:p>
          <w:p w:rsidR="00426864" w:rsidRDefault="00A62A52">
            <w:pPr>
              <w:pStyle w:val="12"/>
              <w:ind w:firstLineChars="0" w:firstLine="0"/>
              <w:rPr>
                <w:b w:val="0"/>
                <w:bCs w:val="0"/>
                <w:sz w:val="21"/>
                <w:szCs w:val="21"/>
              </w:rPr>
            </w:pPr>
            <w:r>
              <w:rPr>
                <w:rFonts w:hint="eastAsia"/>
                <w:b w:val="0"/>
                <w:bCs w:val="0"/>
                <w:sz w:val="21"/>
                <w:szCs w:val="21"/>
              </w:rPr>
              <w:lastRenderedPageBreak/>
              <w:t>（4）拆单控费预警：根据全国及区域大数据，结合医院实际情况，创建费用常规预警模型、费用异常预警模型，实时动态监测预警提醒，及时发现及降低拆单等不良行为风险，同时针对医院控费力度不足时进行及时预警。</w:t>
            </w:r>
          </w:p>
          <w:p w:rsidR="00426864" w:rsidRDefault="00A62A52">
            <w:pPr>
              <w:pStyle w:val="12"/>
              <w:ind w:firstLineChars="0" w:firstLine="0"/>
              <w:rPr>
                <w:b w:val="0"/>
                <w:bCs w:val="0"/>
                <w:sz w:val="21"/>
                <w:szCs w:val="21"/>
              </w:rPr>
            </w:pPr>
            <w:r>
              <w:rPr>
                <w:rFonts w:hint="eastAsia"/>
                <w:b w:val="0"/>
                <w:bCs w:val="0"/>
                <w:sz w:val="21"/>
                <w:szCs w:val="21"/>
              </w:rPr>
              <w:t>（5）患者负担监控：对患者自付及患者自费进行实时监控，个性化配置预警值。</w:t>
            </w:r>
          </w:p>
          <w:p w:rsidR="00426864" w:rsidRDefault="00A62A52">
            <w:pPr>
              <w:pStyle w:val="12"/>
              <w:ind w:firstLineChars="0" w:firstLine="0"/>
              <w:rPr>
                <w:b w:val="0"/>
                <w:bCs w:val="0"/>
                <w:sz w:val="21"/>
                <w:szCs w:val="21"/>
              </w:rPr>
            </w:pPr>
            <w:r>
              <w:rPr>
                <w:rFonts w:hint="eastAsia"/>
                <w:b w:val="0"/>
                <w:bCs w:val="0"/>
                <w:sz w:val="21"/>
                <w:szCs w:val="21"/>
              </w:rPr>
              <w:t>（6）费用结构监控：对全院病例的费用结构进行汇总分析对比。</w:t>
            </w:r>
          </w:p>
          <w:p w:rsidR="00426864" w:rsidRDefault="00A62A52">
            <w:pPr>
              <w:pStyle w:val="12"/>
              <w:ind w:firstLineChars="0" w:firstLine="0"/>
            </w:pPr>
            <w:r>
              <w:rPr>
                <w:rFonts w:hint="eastAsia"/>
                <w:b w:val="0"/>
                <w:bCs w:val="0"/>
                <w:sz w:val="21"/>
                <w:szCs w:val="21"/>
              </w:rPr>
              <w:t>（7）智能提醒：针对全院监控预警，综合性多规则判定，智能文字汇报提醒。</w:t>
            </w:r>
          </w:p>
        </w:tc>
        <w:tc>
          <w:tcPr>
            <w:tcW w:w="879" w:type="dxa"/>
            <w:vMerge/>
          </w:tcPr>
          <w:p w:rsidR="00426864" w:rsidRDefault="00426864">
            <w:pPr>
              <w:pStyle w:val="12"/>
              <w:ind w:firstLine="241"/>
            </w:pPr>
          </w:p>
        </w:tc>
      </w:tr>
      <w:tr w:rsidR="00426864">
        <w:tc>
          <w:tcPr>
            <w:tcW w:w="464" w:type="dxa"/>
            <w:vMerge/>
          </w:tcPr>
          <w:p w:rsidR="00426864" w:rsidRDefault="00426864">
            <w:pPr>
              <w:pStyle w:val="12"/>
              <w:ind w:firstLine="241"/>
            </w:pPr>
          </w:p>
        </w:tc>
        <w:tc>
          <w:tcPr>
            <w:tcW w:w="622" w:type="dxa"/>
            <w:vMerge/>
          </w:tcPr>
          <w:p w:rsidR="00426864" w:rsidRDefault="00426864">
            <w:pPr>
              <w:pStyle w:val="12"/>
              <w:ind w:firstLine="241"/>
            </w:pPr>
          </w:p>
        </w:tc>
        <w:tc>
          <w:tcPr>
            <w:tcW w:w="938" w:type="dxa"/>
            <w:vMerge/>
          </w:tcPr>
          <w:p w:rsidR="00426864" w:rsidRDefault="00426864">
            <w:pPr>
              <w:pStyle w:val="12"/>
              <w:ind w:firstLine="241"/>
            </w:pPr>
          </w:p>
        </w:tc>
        <w:tc>
          <w:tcPr>
            <w:tcW w:w="6951" w:type="dxa"/>
          </w:tcPr>
          <w:p w:rsidR="00426864" w:rsidRDefault="00A62A52">
            <w:pPr>
              <w:pStyle w:val="a1"/>
              <w:spacing w:line="440" w:lineRule="exact"/>
              <w:ind w:firstLine="0"/>
              <w:rPr>
                <w:rFonts w:ascii="宋体" w:hAnsi="宋体"/>
                <w:b/>
                <w:bCs/>
                <w:caps/>
                <w:szCs w:val="21"/>
              </w:rPr>
            </w:pPr>
            <w:r>
              <w:rPr>
                <w:rFonts w:ascii="宋体" w:hAnsi="宋体" w:hint="eastAsia"/>
                <w:b/>
                <w:bCs/>
                <w:caps/>
                <w:szCs w:val="21"/>
              </w:rPr>
              <w:t>2.4分组效能</w:t>
            </w:r>
          </w:p>
          <w:p w:rsidR="00426864" w:rsidRDefault="00A62A52">
            <w:pPr>
              <w:pStyle w:val="a1"/>
              <w:spacing w:line="440" w:lineRule="exact"/>
              <w:ind w:firstLine="0"/>
              <w:rPr>
                <w:rFonts w:ascii="宋体" w:hAnsi="宋体"/>
                <w:caps/>
                <w:szCs w:val="21"/>
              </w:rPr>
            </w:pPr>
            <w:r>
              <w:rPr>
                <w:rFonts w:ascii="宋体" w:hAnsi="宋体" w:hint="eastAsia"/>
                <w:caps/>
                <w:szCs w:val="21"/>
              </w:rPr>
              <w:t>（1）分组结果汇总分析：对出院病例进行汇总分析，可视化展示纳入分组病例病例数量、入组数量，横向对比内科组、外科手术组、非手术操作组的病例数量。</w:t>
            </w:r>
          </w:p>
          <w:p w:rsidR="00426864" w:rsidRDefault="00A62A52">
            <w:pPr>
              <w:rPr>
                <w:rFonts w:ascii="宋体" w:hAnsi="宋体"/>
                <w:caps/>
                <w:szCs w:val="21"/>
              </w:rPr>
            </w:pPr>
            <w:r>
              <w:rPr>
                <w:rFonts w:ascii="仿宋" w:eastAsia="仿宋" w:hAnsi="仿宋" w:cs="仿宋" w:hint="eastAsia"/>
                <w:kern w:val="0"/>
                <w:sz w:val="24"/>
              </w:rPr>
              <w:t>▲</w:t>
            </w:r>
            <w:r>
              <w:rPr>
                <w:rFonts w:ascii="宋体" w:hAnsi="宋体" w:hint="eastAsia"/>
                <w:caps/>
                <w:szCs w:val="21"/>
              </w:rPr>
              <w:t>（2）分组效能评估：对总体病例入组率（同比、环比）、覆盖广度ADRG组数、DRG组数、CV、RIV进行统计分析。</w:t>
            </w:r>
          </w:p>
          <w:p w:rsidR="00426864" w:rsidRDefault="00A62A52">
            <w:r>
              <w:rPr>
                <w:rFonts w:ascii="宋体" w:hAnsi="宋体" w:hint="eastAsia"/>
                <w:color w:val="FF0000"/>
                <w:szCs w:val="21"/>
              </w:rPr>
              <w:t>(</w:t>
            </w:r>
            <w:r>
              <w:rPr>
                <w:rFonts w:ascii="宋体" w:hAnsi="宋体" w:cs="Calibri" w:hint="eastAsia"/>
                <w:color w:val="FF0000"/>
                <w:szCs w:val="21"/>
              </w:rPr>
              <w:t>提供此功能软件界面截图并加盖参询人公章)</w:t>
            </w:r>
          </w:p>
        </w:tc>
        <w:tc>
          <w:tcPr>
            <w:tcW w:w="879" w:type="dxa"/>
            <w:vMerge/>
          </w:tcPr>
          <w:p w:rsidR="00426864" w:rsidRDefault="00426864">
            <w:pPr>
              <w:pStyle w:val="12"/>
              <w:ind w:firstLine="241"/>
            </w:pPr>
          </w:p>
        </w:tc>
      </w:tr>
      <w:tr w:rsidR="00426864">
        <w:tc>
          <w:tcPr>
            <w:tcW w:w="464" w:type="dxa"/>
            <w:vMerge/>
          </w:tcPr>
          <w:p w:rsidR="00426864" w:rsidRDefault="00426864">
            <w:pPr>
              <w:pStyle w:val="12"/>
              <w:ind w:firstLine="241"/>
            </w:pPr>
          </w:p>
        </w:tc>
        <w:tc>
          <w:tcPr>
            <w:tcW w:w="622" w:type="dxa"/>
            <w:vMerge/>
          </w:tcPr>
          <w:p w:rsidR="00426864" w:rsidRDefault="00426864">
            <w:pPr>
              <w:pStyle w:val="12"/>
              <w:ind w:firstLine="241"/>
            </w:pPr>
          </w:p>
        </w:tc>
        <w:tc>
          <w:tcPr>
            <w:tcW w:w="938" w:type="dxa"/>
            <w:vMerge/>
          </w:tcPr>
          <w:p w:rsidR="00426864" w:rsidRDefault="00426864">
            <w:pPr>
              <w:pStyle w:val="12"/>
              <w:ind w:firstLine="241"/>
            </w:pPr>
          </w:p>
        </w:tc>
        <w:tc>
          <w:tcPr>
            <w:tcW w:w="6951" w:type="dxa"/>
          </w:tcPr>
          <w:p w:rsidR="00426864" w:rsidRDefault="00A62A52">
            <w:pPr>
              <w:pStyle w:val="12"/>
              <w:ind w:firstLineChars="0" w:firstLine="0"/>
              <w:rPr>
                <w:sz w:val="21"/>
                <w:szCs w:val="21"/>
              </w:rPr>
            </w:pPr>
            <w:r>
              <w:rPr>
                <w:rFonts w:hint="eastAsia"/>
                <w:sz w:val="21"/>
                <w:szCs w:val="21"/>
              </w:rPr>
              <w:t>2.5服务绩效</w:t>
            </w:r>
          </w:p>
          <w:p w:rsidR="00426864" w:rsidRDefault="00A62A52">
            <w:pPr>
              <w:pStyle w:val="12"/>
              <w:ind w:firstLineChars="0" w:firstLine="0"/>
              <w:rPr>
                <w:b w:val="0"/>
                <w:bCs w:val="0"/>
                <w:sz w:val="21"/>
                <w:szCs w:val="21"/>
              </w:rPr>
            </w:pPr>
            <w:r>
              <w:rPr>
                <w:rFonts w:hint="eastAsia"/>
                <w:b w:val="0"/>
                <w:bCs w:val="0"/>
                <w:sz w:val="21"/>
                <w:szCs w:val="21"/>
              </w:rPr>
              <w:t>（1）医院绩效评价：涵盖多维综合评价（因子分析模型）、服务能力评价、服务绩效评价、服务效率评价、服务质量与安全评价等维度，并提供时间序列趋势分析。通过历史数据前期分析并结合全国及地方区域大数据标杆，为医院在绩效管理方面提供院内决策依据、绩效分配导向、规则智能提醒、标准标杆比对，推动医院服务绩效考核管理评价及绩效分配进程。</w:t>
            </w:r>
          </w:p>
          <w:p w:rsidR="00426864" w:rsidRDefault="00A62A52">
            <w:pPr>
              <w:pStyle w:val="12"/>
              <w:ind w:firstLineChars="0" w:firstLine="0"/>
              <w:rPr>
                <w:b w:val="0"/>
                <w:bCs w:val="0"/>
                <w:sz w:val="21"/>
                <w:szCs w:val="21"/>
              </w:rPr>
            </w:pPr>
            <w:r>
              <w:rPr>
                <w:rFonts w:hint="eastAsia"/>
                <w:b w:val="0"/>
                <w:bCs w:val="0"/>
                <w:sz w:val="21"/>
                <w:szCs w:val="21"/>
              </w:rPr>
              <w:t>（2）科室绩效评价：对各科室进行多维综合评价（因子分析模型）、服务能力评价、服务绩效评价、服务效率评价、服务质量与安全评价。包含且不限于CMI、时间消耗指数、费用消耗指数、低风险组死亡率，再入院率等指标。</w:t>
            </w:r>
          </w:p>
          <w:p w:rsidR="00426864" w:rsidRDefault="00A62A52">
            <w:pPr>
              <w:pStyle w:val="12"/>
              <w:ind w:firstLineChars="0" w:firstLine="0"/>
            </w:pPr>
            <w:r>
              <w:rPr>
                <w:rFonts w:hint="eastAsia"/>
                <w:b w:val="0"/>
                <w:bCs w:val="0"/>
                <w:sz w:val="21"/>
                <w:szCs w:val="21"/>
              </w:rPr>
              <w:t>（3）科室绩效分配：建立两版分配方案，分别通过DRG工作量法、综合评价法对月度总绩效完成科室分配，提供绩效分配结果参考。</w:t>
            </w:r>
          </w:p>
        </w:tc>
        <w:tc>
          <w:tcPr>
            <w:tcW w:w="879" w:type="dxa"/>
            <w:vMerge/>
          </w:tcPr>
          <w:p w:rsidR="00426864" w:rsidRDefault="00426864">
            <w:pPr>
              <w:pStyle w:val="12"/>
              <w:ind w:firstLine="241"/>
            </w:pPr>
          </w:p>
        </w:tc>
      </w:tr>
      <w:tr w:rsidR="00426864">
        <w:tc>
          <w:tcPr>
            <w:tcW w:w="464" w:type="dxa"/>
            <w:vMerge/>
          </w:tcPr>
          <w:p w:rsidR="00426864" w:rsidRDefault="00426864">
            <w:pPr>
              <w:pStyle w:val="12"/>
              <w:ind w:firstLine="241"/>
            </w:pPr>
          </w:p>
        </w:tc>
        <w:tc>
          <w:tcPr>
            <w:tcW w:w="622" w:type="dxa"/>
            <w:vMerge/>
          </w:tcPr>
          <w:p w:rsidR="00426864" w:rsidRDefault="00426864">
            <w:pPr>
              <w:pStyle w:val="12"/>
              <w:ind w:firstLine="241"/>
            </w:pPr>
          </w:p>
        </w:tc>
        <w:tc>
          <w:tcPr>
            <w:tcW w:w="938" w:type="dxa"/>
            <w:vMerge/>
          </w:tcPr>
          <w:p w:rsidR="00426864" w:rsidRDefault="00426864">
            <w:pPr>
              <w:pStyle w:val="12"/>
              <w:ind w:firstLine="241"/>
            </w:pPr>
          </w:p>
        </w:tc>
        <w:tc>
          <w:tcPr>
            <w:tcW w:w="6951" w:type="dxa"/>
          </w:tcPr>
          <w:p w:rsidR="00426864" w:rsidRDefault="00A62A52">
            <w:pPr>
              <w:pStyle w:val="a1"/>
              <w:spacing w:line="440" w:lineRule="exact"/>
              <w:ind w:firstLine="0"/>
              <w:rPr>
                <w:rFonts w:ascii="宋体" w:hAnsi="宋体"/>
                <w:b/>
                <w:bCs/>
                <w:caps/>
                <w:szCs w:val="21"/>
              </w:rPr>
            </w:pPr>
            <w:r>
              <w:rPr>
                <w:rFonts w:ascii="宋体" w:hAnsi="宋体" w:hint="eastAsia"/>
                <w:b/>
                <w:bCs/>
                <w:caps/>
                <w:szCs w:val="21"/>
              </w:rPr>
              <w:t>2.6系统查询</w:t>
            </w:r>
          </w:p>
          <w:p w:rsidR="00426864" w:rsidRDefault="00A62A52">
            <w:pPr>
              <w:pStyle w:val="a1"/>
              <w:spacing w:line="440" w:lineRule="exact"/>
              <w:ind w:firstLine="0"/>
              <w:rPr>
                <w:rFonts w:ascii="宋体" w:hAnsi="宋体"/>
                <w:caps/>
                <w:szCs w:val="21"/>
              </w:rPr>
            </w:pPr>
            <w:r>
              <w:rPr>
                <w:rFonts w:ascii="宋体" w:hAnsi="宋体" w:hint="eastAsia"/>
                <w:caps/>
                <w:szCs w:val="21"/>
              </w:rPr>
              <w:t>（1）病组查询：根据账号权限，实现病组在科室、主诊组、责任医生下的差异分析，定位差异主因、对入组病例数、总费用、平均住院天数、预估结算差额、差异比例等进行单项或综合查询。</w:t>
            </w:r>
          </w:p>
          <w:p w:rsidR="00426864" w:rsidRDefault="00A62A52">
            <w:pPr>
              <w:pStyle w:val="12"/>
              <w:ind w:firstLineChars="0" w:firstLine="0"/>
            </w:pPr>
            <w:r>
              <w:rPr>
                <w:rFonts w:hint="eastAsia"/>
                <w:b w:val="0"/>
                <w:bCs w:val="0"/>
                <w:sz w:val="21"/>
                <w:szCs w:val="21"/>
              </w:rPr>
              <w:t>（2）病例查询：根据全院及科室账号权限，实现病例在科室、主诊组、责任医生下的差异分析，定位差异主因、对病例类型、总费用、住院天数、预估结算差额、差异比例等进行单项或综合查询。</w:t>
            </w:r>
          </w:p>
        </w:tc>
        <w:tc>
          <w:tcPr>
            <w:tcW w:w="879" w:type="dxa"/>
            <w:vMerge/>
          </w:tcPr>
          <w:p w:rsidR="00426864" w:rsidRDefault="00426864">
            <w:pPr>
              <w:pStyle w:val="12"/>
              <w:ind w:firstLine="241"/>
            </w:pPr>
          </w:p>
        </w:tc>
      </w:tr>
      <w:tr w:rsidR="00426864">
        <w:tc>
          <w:tcPr>
            <w:tcW w:w="464" w:type="dxa"/>
            <w:vMerge/>
          </w:tcPr>
          <w:p w:rsidR="00426864" w:rsidRDefault="00426864">
            <w:pPr>
              <w:pStyle w:val="12"/>
              <w:ind w:firstLine="241"/>
            </w:pPr>
          </w:p>
        </w:tc>
        <w:tc>
          <w:tcPr>
            <w:tcW w:w="622" w:type="dxa"/>
            <w:vMerge/>
          </w:tcPr>
          <w:p w:rsidR="00426864" w:rsidRDefault="00426864">
            <w:pPr>
              <w:pStyle w:val="12"/>
              <w:ind w:firstLine="241"/>
            </w:pPr>
          </w:p>
        </w:tc>
        <w:tc>
          <w:tcPr>
            <w:tcW w:w="938" w:type="dxa"/>
            <w:vMerge w:val="restart"/>
          </w:tcPr>
          <w:p w:rsidR="00426864" w:rsidRDefault="00A62A52">
            <w:pPr>
              <w:pStyle w:val="12"/>
              <w:ind w:firstLineChars="0" w:firstLine="0"/>
            </w:pPr>
            <w:r>
              <w:rPr>
                <w:rFonts w:hint="eastAsia"/>
                <w:b w:val="0"/>
                <w:bCs w:val="0"/>
                <w:sz w:val="21"/>
                <w:szCs w:val="21"/>
              </w:rPr>
              <w:t>3.结算清单管理系统</w:t>
            </w:r>
          </w:p>
        </w:tc>
        <w:tc>
          <w:tcPr>
            <w:tcW w:w="6951" w:type="dxa"/>
          </w:tcPr>
          <w:p w:rsidR="00426864" w:rsidRDefault="00A62A52">
            <w:pPr>
              <w:pStyle w:val="12"/>
              <w:ind w:firstLineChars="0" w:firstLine="0"/>
              <w:rPr>
                <w:sz w:val="21"/>
                <w:szCs w:val="21"/>
              </w:rPr>
            </w:pPr>
            <w:r>
              <w:rPr>
                <w:rFonts w:hint="eastAsia"/>
                <w:sz w:val="21"/>
                <w:szCs w:val="21"/>
              </w:rPr>
              <w:t>3.1结算清单质控</w:t>
            </w:r>
          </w:p>
          <w:p w:rsidR="00426864" w:rsidRDefault="00A62A52">
            <w:pPr>
              <w:pStyle w:val="12"/>
              <w:ind w:firstLineChars="0" w:firstLine="0"/>
              <w:rPr>
                <w:b w:val="0"/>
                <w:bCs w:val="0"/>
                <w:sz w:val="21"/>
                <w:szCs w:val="21"/>
              </w:rPr>
            </w:pPr>
            <w:r>
              <w:rPr>
                <w:rFonts w:ascii="仿宋" w:eastAsia="仿宋" w:hAnsi="仿宋" w:cs="仿宋" w:hint="eastAsia"/>
                <w:kern w:val="0"/>
              </w:rPr>
              <w:t>▲</w:t>
            </w:r>
            <w:r>
              <w:rPr>
                <w:rFonts w:hint="eastAsia"/>
                <w:b w:val="0"/>
                <w:bCs w:val="0"/>
                <w:sz w:val="21"/>
                <w:szCs w:val="21"/>
              </w:rPr>
              <w:t>（1）医院质控人员可以对各结算清单进行复核和最终确认，提高结算清单修正率，并提供分组模拟和查询功能。系统内置的质控规则符合医保要求，完成审核后可用于归档和上传局端。同时系统提供原始信息展示功</w:t>
            </w:r>
            <w:r>
              <w:rPr>
                <w:rFonts w:hint="eastAsia"/>
                <w:b w:val="0"/>
                <w:bCs w:val="0"/>
                <w:sz w:val="21"/>
                <w:szCs w:val="21"/>
              </w:rPr>
              <w:lastRenderedPageBreak/>
              <w:t xml:space="preserve">能，可查看生成结算清单时的原始数据，便于核对。 </w:t>
            </w:r>
          </w:p>
          <w:p w:rsidR="00426864" w:rsidRDefault="00A62A52">
            <w:pPr>
              <w:rPr>
                <w:rFonts w:ascii="宋体" w:hAnsi="宋体" w:cs="Calibri"/>
                <w:color w:val="FF0000"/>
                <w:szCs w:val="21"/>
              </w:rPr>
            </w:pPr>
            <w:r>
              <w:rPr>
                <w:rFonts w:ascii="宋体" w:hAnsi="宋体" w:hint="eastAsia"/>
                <w:color w:val="FF0000"/>
                <w:szCs w:val="21"/>
              </w:rPr>
              <w:t>(</w:t>
            </w:r>
            <w:r>
              <w:rPr>
                <w:rFonts w:ascii="宋体" w:hAnsi="宋体" w:cs="Calibri" w:hint="eastAsia"/>
                <w:color w:val="FF0000"/>
                <w:szCs w:val="21"/>
              </w:rPr>
              <w:t>提供此功能软件界面截图并加盖参询人公章)</w:t>
            </w:r>
          </w:p>
          <w:p w:rsidR="00426864" w:rsidRDefault="00426864"/>
        </w:tc>
        <w:tc>
          <w:tcPr>
            <w:tcW w:w="879" w:type="dxa"/>
            <w:vMerge/>
          </w:tcPr>
          <w:p w:rsidR="00426864" w:rsidRDefault="00426864">
            <w:pPr>
              <w:pStyle w:val="12"/>
              <w:ind w:firstLine="241"/>
            </w:pPr>
          </w:p>
        </w:tc>
      </w:tr>
      <w:tr w:rsidR="00426864">
        <w:tc>
          <w:tcPr>
            <w:tcW w:w="464" w:type="dxa"/>
            <w:vMerge/>
          </w:tcPr>
          <w:p w:rsidR="00426864" w:rsidRDefault="00426864">
            <w:pPr>
              <w:pStyle w:val="12"/>
              <w:ind w:firstLine="241"/>
            </w:pPr>
          </w:p>
        </w:tc>
        <w:tc>
          <w:tcPr>
            <w:tcW w:w="622" w:type="dxa"/>
            <w:vMerge/>
          </w:tcPr>
          <w:p w:rsidR="00426864" w:rsidRDefault="00426864">
            <w:pPr>
              <w:pStyle w:val="12"/>
              <w:ind w:firstLine="241"/>
            </w:pPr>
          </w:p>
        </w:tc>
        <w:tc>
          <w:tcPr>
            <w:tcW w:w="938" w:type="dxa"/>
            <w:vMerge/>
          </w:tcPr>
          <w:p w:rsidR="00426864" w:rsidRDefault="00426864">
            <w:pPr>
              <w:pStyle w:val="12"/>
              <w:ind w:firstLine="241"/>
            </w:pPr>
          </w:p>
        </w:tc>
        <w:tc>
          <w:tcPr>
            <w:tcW w:w="6951" w:type="dxa"/>
          </w:tcPr>
          <w:p w:rsidR="00426864" w:rsidRDefault="00A62A52">
            <w:pPr>
              <w:pStyle w:val="a1"/>
              <w:spacing w:line="440" w:lineRule="exact"/>
              <w:ind w:firstLine="0"/>
              <w:rPr>
                <w:rFonts w:ascii="宋体" w:hAnsi="宋体"/>
                <w:b/>
                <w:bCs/>
                <w:caps/>
                <w:szCs w:val="21"/>
              </w:rPr>
            </w:pPr>
            <w:r>
              <w:rPr>
                <w:rFonts w:ascii="宋体" w:hAnsi="宋体" w:hint="eastAsia"/>
                <w:b/>
                <w:bCs/>
                <w:caps/>
                <w:szCs w:val="21"/>
              </w:rPr>
              <w:t>3.2数据驾驶舱</w:t>
            </w:r>
          </w:p>
          <w:p w:rsidR="00426864" w:rsidRDefault="00A62A52">
            <w:pPr>
              <w:pStyle w:val="12"/>
              <w:ind w:firstLineChars="0" w:firstLine="0"/>
            </w:pPr>
            <w:r>
              <w:rPr>
                <w:rFonts w:hint="eastAsia"/>
                <w:b w:val="0"/>
                <w:bCs w:val="0"/>
                <w:sz w:val="21"/>
                <w:szCs w:val="21"/>
              </w:rPr>
              <w:t>（1）提供包括结算清单违规数据、入组数据、上传医保数据、结算数据、申诉统计数据、差异分析数据、病例类型数据等分析模块。</w:t>
            </w:r>
          </w:p>
        </w:tc>
        <w:tc>
          <w:tcPr>
            <w:tcW w:w="879" w:type="dxa"/>
            <w:vMerge/>
          </w:tcPr>
          <w:p w:rsidR="00426864" w:rsidRDefault="00426864">
            <w:pPr>
              <w:pStyle w:val="12"/>
              <w:ind w:firstLine="241"/>
            </w:pPr>
          </w:p>
        </w:tc>
      </w:tr>
      <w:tr w:rsidR="00426864">
        <w:tc>
          <w:tcPr>
            <w:tcW w:w="464" w:type="dxa"/>
            <w:vMerge/>
          </w:tcPr>
          <w:p w:rsidR="00426864" w:rsidRDefault="00426864">
            <w:pPr>
              <w:pStyle w:val="12"/>
              <w:ind w:firstLine="241"/>
            </w:pPr>
          </w:p>
        </w:tc>
        <w:tc>
          <w:tcPr>
            <w:tcW w:w="622" w:type="dxa"/>
            <w:vMerge/>
          </w:tcPr>
          <w:p w:rsidR="00426864" w:rsidRDefault="00426864">
            <w:pPr>
              <w:pStyle w:val="12"/>
              <w:ind w:firstLine="241"/>
            </w:pPr>
          </w:p>
        </w:tc>
        <w:tc>
          <w:tcPr>
            <w:tcW w:w="938" w:type="dxa"/>
            <w:vMerge/>
          </w:tcPr>
          <w:p w:rsidR="00426864" w:rsidRDefault="00426864">
            <w:pPr>
              <w:pStyle w:val="12"/>
              <w:ind w:firstLine="241"/>
            </w:pPr>
          </w:p>
        </w:tc>
        <w:tc>
          <w:tcPr>
            <w:tcW w:w="6951" w:type="dxa"/>
          </w:tcPr>
          <w:p w:rsidR="00426864" w:rsidRDefault="00A62A52">
            <w:pPr>
              <w:pStyle w:val="a1"/>
              <w:spacing w:line="440" w:lineRule="exact"/>
              <w:ind w:firstLine="0"/>
              <w:rPr>
                <w:rFonts w:ascii="宋体" w:hAnsi="宋体"/>
                <w:b/>
                <w:bCs/>
                <w:caps/>
                <w:szCs w:val="21"/>
              </w:rPr>
            </w:pPr>
            <w:r>
              <w:rPr>
                <w:rFonts w:ascii="宋体" w:hAnsi="宋体" w:hint="eastAsia"/>
                <w:b/>
                <w:bCs/>
                <w:caps/>
                <w:szCs w:val="21"/>
              </w:rPr>
              <w:t>3.3数据分析</w:t>
            </w:r>
          </w:p>
          <w:p w:rsidR="00426864" w:rsidRDefault="00A62A52">
            <w:pPr>
              <w:pStyle w:val="12"/>
              <w:ind w:firstLineChars="0" w:firstLine="0"/>
            </w:pPr>
            <w:r>
              <w:rPr>
                <w:rFonts w:hint="eastAsia"/>
                <w:b w:val="0"/>
                <w:bCs w:val="0"/>
                <w:sz w:val="21"/>
                <w:szCs w:val="21"/>
              </w:rPr>
              <w:t>（1）提供数据分析功能，按照不同维度对修正前、修正后及局端反馈回来的数据进行智能分析和对比，针对性提高医院填写结算清单的准确率。同时按照不同维度对事中事后的数据进行分组差异分析，让医生直观的感受到由于错漏填数据给医院带来的损失，提高医生正确填写结算清单的意识。</w:t>
            </w:r>
          </w:p>
        </w:tc>
        <w:tc>
          <w:tcPr>
            <w:tcW w:w="879" w:type="dxa"/>
            <w:vMerge/>
          </w:tcPr>
          <w:p w:rsidR="00426864" w:rsidRDefault="00426864">
            <w:pPr>
              <w:pStyle w:val="12"/>
              <w:ind w:firstLine="241"/>
            </w:pPr>
          </w:p>
        </w:tc>
      </w:tr>
      <w:tr w:rsidR="00426864">
        <w:tc>
          <w:tcPr>
            <w:tcW w:w="464" w:type="dxa"/>
            <w:vMerge/>
          </w:tcPr>
          <w:p w:rsidR="00426864" w:rsidRDefault="00426864">
            <w:pPr>
              <w:pStyle w:val="12"/>
              <w:ind w:firstLine="241"/>
            </w:pPr>
          </w:p>
        </w:tc>
        <w:tc>
          <w:tcPr>
            <w:tcW w:w="622" w:type="dxa"/>
            <w:vMerge/>
          </w:tcPr>
          <w:p w:rsidR="00426864" w:rsidRDefault="00426864">
            <w:pPr>
              <w:pStyle w:val="12"/>
              <w:ind w:firstLine="241"/>
            </w:pPr>
          </w:p>
        </w:tc>
        <w:tc>
          <w:tcPr>
            <w:tcW w:w="938" w:type="dxa"/>
          </w:tcPr>
          <w:p w:rsidR="00426864" w:rsidRDefault="00A62A52">
            <w:pPr>
              <w:pStyle w:val="12"/>
              <w:ind w:firstLineChars="0" w:firstLine="0"/>
            </w:pPr>
            <w:r>
              <w:rPr>
                <w:rFonts w:hint="eastAsia"/>
                <w:b w:val="0"/>
                <w:bCs w:val="0"/>
                <w:sz w:val="21"/>
                <w:szCs w:val="21"/>
              </w:rPr>
              <w:t>4.HIS、EMR对接平台开发服务</w:t>
            </w:r>
          </w:p>
        </w:tc>
        <w:tc>
          <w:tcPr>
            <w:tcW w:w="6951" w:type="dxa"/>
          </w:tcPr>
          <w:p w:rsidR="00426864" w:rsidRDefault="00A62A52">
            <w:pPr>
              <w:pStyle w:val="a1"/>
              <w:spacing w:line="440" w:lineRule="exact"/>
              <w:ind w:firstLine="0"/>
              <w:rPr>
                <w:rFonts w:ascii="宋体" w:hAnsi="宋体"/>
                <w:caps/>
                <w:szCs w:val="21"/>
              </w:rPr>
            </w:pPr>
            <w:r>
              <w:rPr>
                <w:rFonts w:ascii="宋体" w:hAnsi="宋体" w:hint="eastAsia"/>
                <w:caps/>
                <w:szCs w:val="21"/>
              </w:rPr>
              <w:t>（1）成交供应商负责按照接口文档规范实现医院HIS与DRG综合评价管理系统对接，保证系统流程完整性。</w:t>
            </w:r>
          </w:p>
          <w:p w:rsidR="00426864" w:rsidRDefault="00A62A52">
            <w:pPr>
              <w:pStyle w:val="12"/>
              <w:ind w:firstLineChars="0" w:firstLine="0"/>
            </w:pPr>
            <w:r>
              <w:rPr>
                <w:rFonts w:hint="eastAsia"/>
                <w:b w:val="0"/>
                <w:bCs w:val="0"/>
                <w:sz w:val="21"/>
                <w:szCs w:val="21"/>
              </w:rPr>
              <w:t>（2）成交供应商负责按照接口文档规范实现医院EMR与DRG综合评价管理系统对接，保证系统流程完整性。</w:t>
            </w:r>
          </w:p>
        </w:tc>
        <w:tc>
          <w:tcPr>
            <w:tcW w:w="879" w:type="dxa"/>
            <w:vMerge/>
          </w:tcPr>
          <w:p w:rsidR="00426864" w:rsidRDefault="00426864">
            <w:pPr>
              <w:pStyle w:val="12"/>
              <w:ind w:firstLine="241"/>
            </w:pPr>
          </w:p>
        </w:tc>
      </w:tr>
      <w:tr w:rsidR="00426864">
        <w:trPr>
          <w:trHeight w:val="3535"/>
        </w:trPr>
        <w:tc>
          <w:tcPr>
            <w:tcW w:w="464" w:type="dxa"/>
            <w:vMerge/>
          </w:tcPr>
          <w:p w:rsidR="00426864" w:rsidRDefault="00426864">
            <w:pPr>
              <w:pStyle w:val="12"/>
              <w:ind w:firstLine="241"/>
            </w:pPr>
          </w:p>
        </w:tc>
        <w:tc>
          <w:tcPr>
            <w:tcW w:w="622" w:type="dxa"/>
            <w:vMerge/>
          </w:tcPr>
          <w:p w:rsidR="00426864" w:rsidRDefault="00426864">
            <w:pPr>
              <w:pStyle w:val="12"/>
              <w:ind w:firstLine="241"/>
            </w:pPr>
          </w:p>
        </w:tc>
        <w:tc>
          <w:tcPr>
            <w:tcW w:w="7889" w:type="dxa"/>
            <w:gridSpan w:val="2"/>
          </w:tcPr>
          <w:p w:rsidR="00426864" w:rsidRDefault="00A62A52">
            <w:pPr>
              <w:pStyle w:val="12"/>
              <w:ind w:firstLineChars="0" w:firstLine="0"/>
              <w:rPr>
                <w:b w:val="0"/>
                <w:bCs w:val="0"/>
                <w:sz w:val="21"/>
                <w:szCs w:val="21"/>
              </w:rPr>
            </w:pPr>
            <w:r>
              <w:rPr>
                <w:rFonts w:hint="eastAsia"/>
                <w:b w:val="0"/>
                <w:bCs w:val="0"/>
                <w:sz w:val="21"/>
                <w:szCs w:val="21"/>
              </w:rPr>
              <w:t>（二）其他要求</w:t>
            </w:r>
          </w:p>
          <w:p w:rsidR="00426864" w:rsidRDefault="00A62A52">
            <w:pPr>
              <w:pStyle w:val="12"/>
              <w:ind w:firstLineChars="0" w:firstLine="0"/>
              <w:rPr>
                <w:b w:val="0"/>
                <w:bCs w:val="0"/>
                <w:sz w:val="21"/>
                <w:szCs w:val="21"/>
              </w:rPr>
            </w:pPr>
            <w:r>
              <w:rPr>
                <w:rFonts w:hint="eastAsia"/>
                <w:b w:val="0"/>
                <w:bCs w:val="0"/>
                <w:sz w:val="21"/>
                <w:szCs w:val="21"/>
              </w:rPr>
              <w:t>1.系统部署：为保证项目信息安全和数据安全，本项目涉及的所有系统部署及相关的各项工作开展均须在医院内部网内完成。</w:t>
            </w:r>
          </w:p>
          <w:p w:rsidR="00426864" w:rsidRDefault="00A62A52">
            <w:pPr>
              <w:pStyle w:val="12"/>
              <w:ind w:firstLineChars="0" w:firstLine="0"/>
              <w:rPr>
                <w:b w:val="0"/>
                <w:bCs w:val="0"/>
                <w:color w:val="FF0000"/>
                <w:sz w:val="21"/>
                <w:szCs w:val="21"/>
              </w:rPr>
            </w:pPr>
            <w:r>
              <w:rPr>
                <w:rFonts w:hint="eastAsia"/>
                <w:b w:val="0"/>
                <w:bCs w:val="0"/>
                <w:color w:val="FF0000"/>
                <w:sz w:val="21"/>
                <w:szCs w:val="21"/>
              </w:rPr>
              <w:t>2.功能参数要求中标★号的为实质性响应要求，必须满足否则投标无效。</w:t>
            </w:r>
          </w:p>
          <w:p w:rsidR="00426864" w:rsidRDefault="00A62A52">
            <w:pPr>
              <w:rPr>
                <w:rFonts w:eastAsia="仿宋"/>
              </w:rPr>
            </w:pPr>
            <w:r>
              <w:rPr>
                <w:rFonts w:hint="eastAsia"/>
                <w:color w:val="FF0000"/>
                <w:szCs w:val="21"/>
              </w:rPr>
              <w:t>3.</w:t>
            </w:r>
            <w:r>
              <w:rPr>
                <w:rFonts w:hint="eastAsia"/>
                <w:color w:val="FF0000"/>
                <w:szCs w:val="21"/>
              </w:rPr>
              <w:t>功能参数要求中标</w:t>
            </w:r>
            <w:r>
              <w:rPr>
                <w:rFonts w:ascii="仿宋" w:eastAsia="仿宋" w:hAnsi="仿宋" w:cs="仿宋" w:hint="eastAsia"/>
                <w:kern w:val="0"/>
              </w:rPr>
              <w:t>▲非实质性响应要求。</w:t>
            </w:r>
          </w:p>
          <w:p w:rsidR="00426864" w:rsidRDefault="00A62A52">
            <w:pPr>
              <w:pStyle w:val="12"/>
              <w:ind w:firstLineChars="0" w:firstLine="0"/>
            </w:pPr>
            <w:r>
              <w:rPr>
                <w:rFonts w:hint="eastAsia"/>
                <w:b w:val="0"/>
                <w:bCs w:val="0"/>
                <w:sz w:val="21"/>
                <w:szCs w:val="21"/>
              </w:rPr>
              <w:t>4.服务要求：未经采购人允许，不得擅自对本项目相关的信息或数据进行存储、提取、分析、截留、篡改、加密等，不得将信息或数据应用于任何其他产品或用途，不得泄露本项目产生的任何数据信息内容。</w:t>
            </w:r>
          </w:p>
        </w:tc>
        <w:tc>
          <w:tcPr>
            <w:tcW w:w="879" w:type="dxa"/>
          </w:tcPr>
          <w:p w:rsidR="00426864" w:rsidRDefault="00426864">
            <w:pPr>
              <w:pStyle w:val="12"/>
              <w:ind w:firstLine="241"/>
            </w:pPr>
          </w:p>
        </w:tc>
      </w:tr>
    </w:tbl>
    <w:p w:rsidR="00426864" w:rsidRDefault="00426864">
      <w:pPr>
        <w:pStyle w:val="12"/>
        <w:ind w:firstLine="241"/>
      </w:pPr>
    </w:p>
    <w:tbl>
      <w:tblPr>
        <w:tblW w:w="9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8031"/>
      </w:tblGrid>
      <w:tr w:rsidR="00426864">
        <w:trPr>
          <w:trHeight w:val="547"/>
          <w:jc w:val="center"/>
        </w:trPr>
        <w:tc>
          <w:tcPr>
            <w:tcW w:w="9826" w:type="dxa"/>
            <w:gridSpan w:val="2"/>
            <w:vAlign w:val="center"/>
          </w:tcPr>
          <w:p w:rsidR="00426864" w:rsidRDefault="00A62A52">
            <w:pPr>
              <w:rPr>
                <w:rFonts w:ascii="新宋体" w:eastAsia="新宋体"/>
                <w:szCs w:val="21"/>
              </w:rPr>
            </w:pPr>
            <w:r>
              <w:rPr>
                <w:rFonts w:ascii="仿宋" w:eastAsia="仿宋" w:hAnsi="仿宋" w:cs="仿宋" w:hint="eastAsia"/>
                <w:b/>
                <w:sz w:val="24"/>
              </w:rPr>
              <w:t>商务条款</w:t>
            </w:r>
          </w:p>
        </w:tc>
      </w:tr>
      <w:tr w:rsidR="00426864">
        <w:trPr>
          <w:trHeight w:val="615"/>
          <w:jc w:val="center"/>
        </w:trPr>
        <w:tc>
          <w:tcPr>
            <w:tcW w:w="1795" w:type="dxa"/>
          </w:tcPr>
          <w:p w:rsidR="00426864" w:rsidRDefault="00A62A52">
            <w:pPr>
              <w:spacing w:line="360" w:lineRule="exact"/>
              <w:jc w:val="left"/>
              <w:rPr>
                <w:rFonts w:ascii="仿宋" w:eastAsia="仿宋" w:hAnsi="仿宋" w:cs="仿宋"/>
                <w:sz w:val="24"/>
              </w:rPr>
            </w:pPr>
            <w:r>
              <w:rPr>
                <w:rFonts w:ascii="仿宋" w:eastAsia="仿宋" w:hAnsi="仿宋" w:cs="仿宋" w:hint="eastAsia"/>
                <w:sz w:val="24"/>
              </w:rPr>
              <w:t>规范标准</w:t>
            </w:r>
          </w:p>
        </w:tc>
        <w:tc>
          <w:tcPr>
            <w:tcW w:w="8031" w:type="dxa"/>
          </w:tcPr>
          <w:p w:rsidR="00426864" w:rsidRDefault="00A62A52">
            <w:pPr>
              <w:spacing w:line="360" w:lineRule="exact"/>
              <w:jc w:val="left"/>
              <w:rPr>
                <w:rFonts w:ascii="仿宋" w:eastAsia="仿宋" w:hAnsi="仿宋" w:cs="仿宋"/>
                <w:sz w:val="24"/>
              </w:rPr>
            </w:pPr>
            <w:r>
              <w:rPr>
                <w:rFonts w:ascii="仿宋" w:eastAsia="仿宋" w:hAnsi="仿宋" w:cs="仿宋" w:hint="eastAsia"/>
                <w:sz w:val="24"/>
              </w:rPr>
              <w:t>采购标的需执行的国家标准、行业标准、地方标准或者其他标准、规范。</w:t>
            </w:r>
          </w:p>
        </w:tc>
      </w:tr>
      <w:tr w:rsidR="00426864">
        <w:trPr>
          <w:trHeight w:val="1062"/>
          <w:jc w:val="center"/>
        </w:trPr>
        <w:tc>
          <w:tcPr>
            <w:tcW w:w="1795" w:type="dxa"/>
          </w:tcPr>
          <w:p w:rsidR="00426864" w:rsidRDefault="00A62A52">
            <w:pPr>
              <w:spacing w:line="360" w:lineRule="exact"/>
              <w:jc w:val="left"/>
              <w:rPr>
                <w:rFonts w:ascii="仿宋" w:eastAsia="仿宋" w:hAnsi="仿宋" w:cs="仿宋"/>
                <w:sz w:val="24"/>
              </w:rPr>
            </w:pPr>
            <w:r>
              <w:rPr>
                <w:rFonts w:ascii="仿宋" w:eastAsia="仿宋" w:hAnsi="仿宋" w:cs="仿宋" w:hint="eastAsia"/>
                <w:sz w:val="24"/>
              </w:rPr>
              <w:t>报价要求</w:t>
            </w:r>
          </w:p>
        </w:tc>
        <w:tc>
          <w:tcPr>
            <w:tcW w:w="8031" w:type="dxa"/>
          </w:tcPr>
          <w:p w:rsidR="00426864" w:rsidRDefault="00A62A52">
            <w:pPr>
              <w:spacing w:line="360" w:lineRule="exact"/>
              <w:jc w:val="left"/>
              <w:rPr>
                <w:rFonts w:ascii="仿宋" w:eastAsia="仿宋" w:hAnsi="仿宋" w:cs="仿宋"/>
                <w:sz w:val="24"/>
              </w:rPr>
            </w:pPr>
            <w:r>
              <w:rPr>
                <w:rFonts w:ascii="仿宋" w:eastAsia="仿宋" w:hAnsi="仿宋" w:cs="仿宋" w:hint="eastAsia"/>
                <w:sz w:val="24"/>
              </w:rPr>
              <w:t>1.报价必须包含接口等满足本次全部采购需求所应提供的服务，以及伴随的货物和工程（如有）的价格；包含：产品价格、运输费（含装卸费）、保险费、安装调试费、税费、培训费、产品检测费、产品质保期内维护等费用。</w:t>
            </w:r>
          </w:p>
          <w:p w:rsidR="00426864" w:rsidRDefault="00A62A52">
            <w:pPr>
              <w:spacing w:line="360" w:lineRule="exact"/>
              <w:jc w:val="left"/>
              <w:rPr>
                <w:rFonts w:ascii="仿宋" w:eastAsia="仿宋" w:hAnsi="仿宋" w:cs="仿宋"/>
                <w:sz w:val="24"/>
              </w:rPr>
            </w:pPr>
            <w:r>
              <w:rPr>
                <w:rFonts w:ascii="仿宋" w:eastAsia="仿宋" w:hAnsi="仿宋" w:cs="仿宋" w:hint="eastAsia"/>
                <w:sz w:val="24"/>
              </w:rPr>
              <w:t>2.对于本文件中未列明，而供应商认为必需的费用也需列入总报价。在合同实施时，采购人将不予支付成交供应商没有列入的项目费用，并认为此项目的费用已包括在响应总报价中。</w:t>
            </w:r>
          </w:p>
          <w:p w:rsidR="00426864" w:rsidRDefault="00A62A52">
            <w:pPr>
              <w:pStyle w:val="a0"/>
              <w:ind w:left="0"/>
            </w:pPr>
            <w:r>
              <w:rPr>
                <w:rFonts w:hint="eastAsia"/>
              </w:rPr>
              <w:t>3.</w:t>
            </w:r>
            <w:r>
              <w:rPr>
                <w:rFonts w:ascii="宋体" w:eastAsiaTheme="minorEastAsia" w:hAnsi="宋体" w:cs="Arial" w:hint="eastAsia"/>
                <w:b/>
                <w:color w:val="000000"/>
                <w:szCs w:val="21"/>
              </w:rPr>
              <w:t xml:space="preserve"> </w:t>
            </w:r>
            <w:r>
              <w:rPr>
                <w:rFonts w:ascii="宋体" w:eastAsiaTheme="minorEastAsia" w:hAnsi="宋体" w:cs="Arial" w:hint="eastAsia"/>
                <w:b/>
                <w:color w:val="000000"/>
                <w:szCs w:val="21"/>
              </w:rPr>
              <w:t>本项目采购预算金额（人民币）：壹百零捌万元整（￥</w:t>
            </w:r>
            <w:r>
              <w:rPr>
                <w:rFonts w:ascii="宋体" w:eastAsiaTheme="minorEastAsia" w:hAnsi="宋体" w:cs="Arial" w:hint="eastAsia"/>
                <w:b/>
                <w:color w:val="000000"/>
                <w:szCs w:val="21"/>
              </w:rPr>
              <w:t>1080000.00</w:t>
            </w:r>
            <w:r>
              <w:rPr>
                <w:rFonts w:ascii="宋体" w:eastAsiaTheme="minorEastAsia" w:hAnsi="宋体" w:cs="Arial" w:hint="eastAsia"/>
                <w:b/>
                <w:color w:val="000000"/>
                <w:szCs w:val="21"/>
              </w:rPr>
              <w:t>），</w:t>
            </w:r>
            <w:r>
              <w:rPr>
                <w:rFonts w:ascii="宋体" w:eastAsiaTheme="minorEastAsia" w:hAnsi="宋体" w:cs="Arial" w:hint="eastAsia"/>
                <w:b/>
                <w:color w:val="000000"/>
                <w:szCs w:val="21"/>
              </w:rPr>
              <w:lastRenderedPageBreak/>
              <w:t>质保期满后，年维护费不高于合同金额的</w:t>
            </w:r>
            <w:r>
              <w:rPr>
                <w:rFonts w:ascii="宋体" w:eastAsiaTheme="minorEastAsia" w:hAnsi="宋体" w:cs="Arial" w:hint="eastAsia"/>
                <w:b/>
                <w:color w:val="000000"/>
                <w:szCs w:val="21"/>
              </w:rPr>
              <w:t>8%</w:t>
            </w:r>
            <w:r>
              <w:rPr>
                <w:rFonts w:ascii="宋体" w:eastAsiaTheme="minorEastAsia" w:hAnsi="宋体" w:cs="Arial" w:hint="eastAsia"/>
                <w:b/>
                <w:color w:val="000000"/>
                <w:szCs w:val="21"/>
              </w:rPr>
              <w:t>，报价超出采购预算总金额的，将被视为无效。</w:t>
            </w:r>
          </w:p>
        </w:tc>
      </w:tr>
      <w:tr w:rsidR="00426864">
        <w:trPr>
          <w:trHeight w:val="623"/>
          <w:jc w:val="center"/>
        </w:trPr>
        <w:tc>
          <w:tcPr>
            <w:tcW w:w="1795" w:type="dxa"/>
          </w:tcPr>
          <w:p w:rsidR="00426864" w:rsidRDefault="00A62A52">
            <w:pPr>
              <w:spacing w:line="360" w:lineRule="exact"/>
              <w:jc w:val="left"/>
              <w:rPr>
                <w:rFonts w:ascii="仿宋" w:eastAsia="仿宋" w:hAnsi="仿宋" w:cs="仿宋"/>
                <w:sz w:val="24"/>
              </w:rPr>
            </w:pPr>
            <w:r>
              <w:rPr>
                <w:rFonts w:ascii="仿宋" w:eastAsia="仿宋" w:hAnsi="仿宋" w:cs="仿宋" w:hint="eastAsia"/>
                <w:sz w:val="24"/>
              </w:rPr>
              <w:lastRenderedPageBreak/>
              <w:t>合同签订日期</w:t>
            </w:r>
          </w:p>
        </w:tc>
        <w:tc>
          <w:tcPr>
            <w:tcW w:w="8031" w:type="dxa"/>
          </w:tcPr>
          <w:p w:rsidR="00426864" w:rsidRDefault="00A62A52">
            <w:pPr>
              <w:spacing w:line="360" w:lineRule="exact"/>
              <w:jc w:val="left"/>
              <w:rPr>
                <w:rFonts w:ascii="仿宋" w:eastAsia="仿宋" w:hAnsi="仿宋" w:cs="仿宋"/>
                <w:sz w:val="24"/>
              </w:rPr>
            </w:pPr>
            <w:r>
              <w:rPr>
                <w:rFonts w:ascii="仿宋" w:eastAsia="仿宋" w:hAnsi="仿宋" w:cs="仿宋"/>
                <w:sz w:val="24"/>
              </w:rPr>
              <w:t>成交通知书发出后15日内。</w:t>
            </w:r>
          </w:p>
        </w:tc>
      </w:tr>
      <w:tr w:rsidR="00426864">
        <w:trPr>
          <w:trHeight w:val="561"/>
          <w:jc w:val="center"/>
        </w:trPr>
        <w:tc>
          <w:tcPr>
            <w:tcW w:w="1795" w:type="dxa"/>
          </w:tcPr>
          <w:p w:rsidR="00426864" w:rsidRDefault="00A62A52">
            <w:pPr>
              <w:spacing w:line="360" w:lineRule="exact"/>
              <w:jc w:val="left"/>
              <w:rPr>
                <w:rFonts w:ascii="仿宋" w:eastAsia="仿宋" w:hAnsi="仿宋" w:cs="仿宋"/>
                <w:sz w:val="24"/>
              </w:rPr>
            </w:pPr>
            <w:r>
              <w:rPr>
                <w:rFonts w:ascii="仿宋" w:eastAsia="仿宋" w:hAnsi="仿宋" w:cs="仿宋" w:hint="eastAsia"/>
                <w:sz w:val="24"/>
              </w:rPr>
              <w:t>付款方式</w:t>
            </w:r>
          </w:p>
        </w:tc>
        <w:tc>
          <w:tcPr>
            <w:tcW w:w="8031" w:type="dxa"/>
          </w:tcPr>
          <w:p w:rsidR="00426864" w:rsidRDefault="00A62A52">
            <w:pPr>
              <w:spacing w:line="360" w:lineRule="exact"/>
              <w:jc w:val="left"/>
              <w:rPr>
                <w:rFonts w:ascii="仿宋" w:eastAsia="仿宋" w:hAnsi="仿宋" w:cs="仿宋"/>
                <w:color w:val="FF0000"/>
                <w:sz w:val="24"/>
              </w:rPr>
            </w:pPr>
            <w:r>
              <w:rPr>
                <w:rFonts w:ascii="仿宋" w:eastAsia="仿宋" w:hAnsi="仿宋" w:cs="仿宋" w:hint="eastAsia"/>
                <w:color w:val="FF0000"/>
                <w:sz w:val="24"/>
              </w:rPr>
              <w:t>第一阶段：供应商实施人员进场完成调研、资料收集、流程确定后，于合同签署后六个月支付合同价的35%；</w:t>
            </w:r>
          </w:p>
          <w:p w:rsidR="00426864" w:rsidRDefault="00A62A52">
            <w:pPr>
              <w:spacing w:line="360" w:lineRule="exact"/>
              <w:jc w:val="left"/>
              <w:rPr>
                <w:rFonts w:ascii="仿宋" w:eastAsia="仿宋" w:hAnsi="仿宋" w:cs="仿宋"/>
                <w:color w:val="FF0000"/>
                <w:sz w:val="24"/>
                <w:highlight w:val="yellow"/>
              </w:rPr>
            </w:pPr>
            <w:r>
              <w:rPr>
                <w:rFonts w:ascii="仿宋" w:eastAsia="仿宋" w:hAnsi="仿宋" w:cs="仿宋" w:hint="eastAsia"/>
                <w:color w:val="FF0000"/>
                <w:sz w:val="24"/>
              </w:rPr>
              <w:t>第二阶段：完成系统安装，以及完成与系统相关的各大系统厂商的接口开发协调工作，系统接口完成开发、联调测试、系统正式上线，付至合同价的65%（因DRG综合评价管理系统项目2023年付款资金预算58万元，若2023年完成项目第二阶段工作则该项目付至58万，余下款项于2024年支付）；                                                         第三阶段：完成系统实施资料移交、技术培训、系统相关整改，并完成系统验收后三个月内支付至合同价的95%；</w:t>
            </w:r>
            <w:r>
              <w:rPr>
                <w:rFonts w:ascii="仿宋" w:eastAsia="仿宋" w:hAnsi="仿宋" w:cs="仿宋" w:hint="eastAsia"/>
                <w:color w:val="FF0000"/>
                <w:sz w:val="24"/>
                <w:highlight w:val="yellow"/>
              </w:rPr>
              <w:t>（以双方签订验收单的日期为计算基准）</w:t>
            </w:r>
          </w:p>
          <w:p w:rsidR="00426864" w:rsidRDefault="00A62A52">
            <w:pPr>
              <w:spacing w:line="360" w:lineRule="exact"/>
              <w:jc w:val="left"/>
              <w:rPr>
                <w:rFonts w:ascii="仿宋" w:eastAsia="仿宋" w:hAnsi="仿宋" w:cs="仿宋"/>
                <w:sz w:val="24"/>
              </w:rPr>
            </w:pPr>
            <w:r>
              <w:rPr>
                <w:rFonts w:ascii="仿宋" w:eastAsia="仿宋" w:hAnsi="仿宋" w:cs="仿宋" w:hint="eastAsia"/>
                <w:color w:val="FF0000"/>
                <w:sz w:val="24"/>
              </w:rPr>
              <w:t>第四阶段：系统验收合格，质保期满后付合同价的5%（无息）。</w:t>
            </w:r>
            <w:r>
              <w:rPr>
                <w:rFonts w:ascii="仿宋" w:eastAsia="仿宋" w:hAnsi="仿宋" w:cs="仿宋" w:hint="eastAsia"/>
                <w:color w:val="FF0000"/>
                <w:sz w:val="24"/>
                <w:highlight w:val="yellow"/>
              </w:rPr>
              <w:t>（以双方签订验收单的日期为计算基准）</w:t>
            </w:r>
          </w:p>
        </w:tc>
      </w:tr>
      <w:tr w:rsidR="00426864">
        <w:trPr>
          <w:trHeight w:val="555"/>
          <w:jc w:val="center"/>
        </w:trPr>
        <w:tc>
          <w:tcPr>
            <w:tcW w:w="1795" w:type="dxa"/>
          </w:tcPr>
          <w:p w:rsidR="00426864" w:rsidRDefault="00A62A52">
            <w:pPr>
              <w:spacing w:line="360" w:lineRule="exact"/>
              <w:jc w:val="left"/>
              <w:rPr>
                <w:rFonts w:ascii="仿宋" w:eastAsia="仿宋" w:hAnsi="仿宋" w:cs="仿宋"/>
                <w:sz w:val="24"/>
              </w:rPr>
            </w:pPr>
            <w:r>
              <w:rPr>
                <w:rFonts w:ascii="仿宋" w:eastAsia="仿宋" w:hAnsi="仿宋" w:cs="仿宋" w:hint="eastAsia"/>
                <w:sz w:val="24"/>
              </w:rPr>
              <w:t>交付使用期</w:t>
            </w:r>
          </w:p>
        </w:tc>
        <w:tc>
          <w:tcPr>
            <w:tcW w:w="8031" w:type="dxa"/>
          </w:tcPr>
          <w:p w:rsidR="00426864" w:rsidRDefault="00A62A52">
            <w:pPr>
              <w:spacing w:line="360" w:lineRule="exact"/>
              <w:jc w:val="left"/>
              <w:rPr>
                <w:rFonts w:ascii="仿宋" w:eastAsia="仿宋" w:hAnsi="仿宋" w:cs="仿宋"/>
                <w:sz w:val="24"/>
              </w:rPr>
            </w:pPr>
            <w:r>
              <w:rPr>
                <w:rFonts w:ascii="仿宋" w:eastAsia="仿宋" w:hAnsi="仿宋" w:cs="仿宋" w:hint="eastAsia"/>
                <w:sz w:val="24"/>
              </w:rPr>
              <w:t>自合同签订后接口开发完成之日起30天内完成服务成果。</w:t>
            </w:r>
          </w:p>
        </w:tc>
      </w:tr>
      <w:tr w:rsidR="00426864">
        <w:trPr>
          <w:trHeight w:val="563"/>
          <w:jc w:val="center"/>
        </w:trPr>
        <w:tc>
          <w:tcPr>
            <w:tcW w:w="1795" w:type="dxa"/>
          </w:tcPr>
          <w:p w:rsidR="00426864" w:rsidRDefault="00A62A52">
            <w:pPr>
              <w:spacing w:line="360" w:lineRule="exact"/>
              <w:jc w:val="left"/>
              <w:rPr>
                <w:rFonts w:ascii="仿宋" w:eastAsia="仿宋" w:hAnsi="仿宋" w:cs="仿宋"/>
                <w:sz w:val="24"/>
              </w:rPr>
            </w:pPr>
            <w:r>
              <w:rPr>
                <w:rFonts w:ascii="仿宋" w:eastAsia="仿宋" w:hAnsi="仿宋" w:cs="仿宋" w:hint="eastAsia"/>
                <w:sz w:val="24"/>
              </w:rPr>
              <w:t>交付地点</w:t>
            </w:r>
          </w:p>
        </w:tc>
        <w:tc>
          <w:tcPr>
            <w:tcW w:w="8031" w:type="dxa"/>
          </w:tcPr>
          <w:p w:rsidR="00426864" w:rsidRDefault="00A62A52">
            <w:pPr>
              <w:spacing w:line="360" w:lineRule="exact"/>
              <w:jc w:val="left"/>
              <w:rPr>
                <w:rFonts w:ascii="仿宋" w:eastAsia="仿宋" w:hAnsi="仿宋" w:cs="仿宋"/>
                <w:sz w:val="24"/>
              </w:rPr>
            </w:pPr>
            <w:r>
              <w:rPr>
                <w:rFonts w:ascii="仿宋" w:eastAsia="仿宋" w:hAnsi="仿宋" w:cs="仿宋"/>
                <w:sz w:val="24"/>
              </w:rPr>
              <w:t>采购人指定地点。</w:t>
            </w:r>
          </w:p>
        </w:tc>
      </w:tr>
      <w:tr w:rsidR="00426864">
        <w:trPr>
          <w:trHeight w:val="699"/>
          <w:jc w:val="center"/>
        </w:trPr>
        <w:tc>
          <w:tcPr>
            <w:tcW w:w="1795" w:type="dxa"/>
          </w:tcPr>
          <w:p w:rsidR="00426864" w:rsidRDefault="00A62A52">
            <w:pPr>
              <w:spacing w:line="360" w:lineRule="exact"/>
              <w:jc w:val="left"/>
              <w:rPr>
                <w:rFonts w:ascii="仿宋" w:eastAsia="仿宋" w:hAnsi="仿宋" w:cs="仿宋"/>
                <w:sz w:val="24"/>
              </w:rPr>
            </w:pPr>
            <w:r>
              <w:rPr>
                <w:rFonts w:ascii="仿宋" w:eastAsia="仿宋" w:hAnsi="仿宋" w:cs="仿宋" w:hint="eastAsia"/>
                <w:sz w:val="24"/>
              </w:rPr>
              <w:t>验收标准</w:t>
            </w:r>
          </w:p>
        </w:tc>
        <w:tc>
          <w:tcPr>
            <w:tcW w:w="8031" w:type="dxa"/>
          </w:tcPr>
          <w:p w:rsidR="00426864" w:rsidRDefault="00A62A52">
            <w:pPr>
              <w:spacing w:line="360" w:lineRule="exact"/>
              <w:jc w:val="left"/>
              <w:rPr>
                <w:rFonts w:ascii="仿宋" w:eastAsia="仿宋" w:hAnsi="仿宋" w:cs="仿宋"/>
                <w:sz w:val="24"/>
                <w:lang w:val="zh-TW" w:eastAsia="zh-TW"/>
              </w:rPr>
            </w:pPr>
            <w:r>
              <w:rPr>
                <w:rFonts w:ascii="仿宋" w:eastAsia="仿宋" w:hAnsi="仿宋" w:cs="仿宋" w:hint="eastAsia"/>
                <w:sz w:val="24"/>
                <w:lang w:val="zh-TW"/>
              </w:rPr>
              <w:t>1</w:t>
            </w:r>
            <w:r>
              <w:rPr>
                <w:rFonts w:ascii="仿宋" w:eastAsia="仿宋" w:hAnsi="仿宋" w:cs="仿宋" w:hint="eastAsia"/>
                <w:sz w:val="24"/>
                <w:lang w:val="zh-TW" w:eastAsia="zh-TW"/>
              </w:rPr>
              <w:t>.中选人在货物或服务验收时由采购单位对照询价文件的功能目标及技术指标</w:t>
            </w:r>
            <w:r>
              <w:rPr>
                <w:rFonts w:ascii="仿宋" w:eastAsia="仿宋" w:hAnsi="仿宋" w:cs="仿宋" w:hint="eastAsia"/>
                <w:sz w:val="24"/>
              </w:rPr>
              <w:t>的功能性以及完整性进行</w:t>
            </w:r>
            <w:r>
              <w:rPr>
                <w:rFonts w:ascii="仿宋" w:eastAsia="仿宋" w:hAnsi="仿宋" w:cs="仿宋" w:hint="eastAsia"/>
                <w:sz w:val="24"/>
                <w:lang w:val="zh-TW" w:eastAsia="zh-TW"/>
              </w:rPr>
              <w:t>全面核对检验，对所有要求出具的证明文件的原件进行核查，如不符合询价文件的技术需求及要求以及提供虚假承诺的，按相关规定做退货处理及违约处理，中选人承担所有责任和费用，询价人保留进一步追究责任的权利。</w:t>
            </w:r>
          </w:p>
          <w:p w:rsidR="00426864" w:rsidRDefault="00A62A52">
            <w:pPr>
              <w:spacing w:line="360" w:lineRule="exact"/>
              <w:jc w:val="left"/>
              <w:rPr>
                <w:rFonts w:ascii="仿宋" w:eastAsia="仿宋" w:hAnsi="仿宋" w:cs="仿宋"/>
                <w:sz w:val="24"/>
                <w:lang w:val="zh-TW" w:eastAsia="zh-TW"/>
              </w:rPr>
            </w:pPr>
            <w:r>
              <w:rPr>
                <w:rFonts w:ascii="仿宋" w:eastAsia="仿宋" w:hAnsi="仿宋" w:cs="仿宋" w:hint="eastAsia"/>
                <w:sz w:val="24"/>
                <w:lang w:val="zh-TW"/>
              </w:rPr>
              <w:t>2</w:t>
            </w:r>
            <w:r>
              <w:rPr>
                <w:rFonts w:ascii="仿宋" w:eastAsia="仿宋" w:hAnsi="仿宋" w:cs="仿宋" w:hint="eastAsia"/>
                <w:sz w:val="24"/>
                <w:lang w:val="zh-TW" w:eastAsia="zh-TW"/>
              </w:rPr>
              <w:t>.成交供应商在交货验收时必须按相关单位及相关标准提供验收资料。</w:t>
            </w:r>
          </w:p>
          <w:p w:rsidR="00426864" w:rsidRDefault="00A62A52">
            <w:pPr>
              <w:spacing w:line="360" w:lineRule="exact"/>
              <w:jc w:val="left"/>
              <w:rPr>
                <w:rFonts w:eastAsia="仿宋"/>
              </w:rPr>
            </w:pPr>
            <w:r>
              <w:rPr>
                <w:rFonts w:ascii="仿宋" w:eastAsia="仿宋" w:hAnsi="仿宋" w:cs="仿宋" w:hint="eastAsia"/>
                <w:color w:val="FF0000"/>
                <w:sz w:val="24"/>
              </w:rPr>
              <w:t>3.如有采购人的HIS、EMR系统所产生的数据不准确，导致DRG系统输出的数据以及结果不准确的，属于无关情形，虽不影响验收，但中选人应协助和配合采购人要求相关系统厂商做好数据核验或改造。</w:t>
            </w:r>
          </w:p>
        </w:tc>
      </w:tr>
      <w:tr w:rsidR="00426864">
        <w:trPr>
          <w:trHeight w:val="699"/>
          <w:jc w:val="center"/>
        </w:trPr>
        <w:tc>
          <w:tcPr>
            <w:tcW w:w="1795" w:type="dxa"/>
          </w:tcPr>
          <w:p w:rsidR="00426864" w:rsidRDefault="00A62A52">
            <w:pPr>
              <w:spacing w:line="360" w:lineRule="exact"/>
              <w:jc w:val="left"/>
              <w:rPr>
                <w:rFonts w:ascii="仿宋" w:eastAsia="仿宋" w:hAnsi="仿宋" w:cs="仿宋"/>
                <w:sz w:val="24"/>
              </w:rPr>
            </w:pPr>
            <w:r>
              <w:rPr>
                <w:rFonts w:ascii="仿宋" w:eastAsia="仿宋" w:hAnsi="仿宋" w:cs="仿宋" w:hint="eastAsia"/>
                <w:sz w:val="24"/>
              </w:rPr>
              <w:t>质保期</w:t>
            </w:r>
          </w:p>
        </w:tc>
        <w:tc>
          <w:tcPr>
            <w:tcW w:w="8031" w:type="dxa"/>
          </w:tcPr>
          <w:p w:rsidR="00426864" w:rsidRDefault="00A62A52">
            <w:pPr>
              <w:spacing w:line="360" w:lineRule="exact"/>
              <w:jc w:val="left"/>
              <w:rPr>
                <w:rFonts w:ascii="仿宋" w:eastAsia="仿宋" w:hAnsi="仿宋" w:cs="仿宋"/>
                <w:sz w:val="24"/>
              </w:rPr>
            </w:pPr>
            <w:r>
              <w:rPr>
                <w:rFonts w:ascii="仿宋" w:eastAsia="仿宋" w:hAnsi="仿宋" w:cs="仿宋" w:hint="eastAsia"/>
                <w:sz w:val="24"/>
              </w:rPr>
              <w:t>自验收合格之日起计算不少于一年。</w:t>
            </w:r>
          </w:p>
        </w:tc>
      </w:tr>
      <w:tr w:rsidR="00426864">
        <w:trPr>
          <w:trHeight w:val="840"/>
          <w:jc w:val="center"/>
        </w:trPr>
        <w:tc>
          <w:tcPr>
            <w:tcW w:w="1795" w:type="dxa"/>
          </w:tcPr>
          <w:p w:rsidR="00426864" w:rsidRDefault="00A62A52">
            <w:pPr>
              <w:spacing w:line="360" w:lineRule="exact"/>
              <w:jc w:val="left"/>
              <w:rPr>
                <w:rFonts w:ascii="仿宋" w:eastAsia="仿宋" w:hAnsi="仿宋" w:cs="仿宋"/>
                <w:sz w:val="24"/>
              </w:rPr>
            </w:pPr>
            <w:r>
              <w:rPr>
                <w:rFonts w:ascii="仿宋" w:eastAsia="仿宋" w:hAnsi="仿宋" w:cs="仿宋" w:hint="eastAsia"/>
                <w:sz w:val="24"/>
              </w:rPr>
              <w:t>服务标准、期限、效率</w:t>
            </w:r>
          </w:p>
        </w:tc>
        <w:tc>
          <w:tcPr>
            <w:tcW w:w="8031" w:type="dxa"/>
          </w:tcPr>
          <w:p w:rsidR="00426864" w:rsidRDefault="00A62A52">
            <w:pPr>
              <w:spacing w:line="360" w:lineRule="exact"/>
              <w:jc w:val="left"/>
              <w:rPr>
                <w:rFonts w:ascii="仿宋" w:eastAsia="仿宋" w:hAnsi="仿宋" w:cs="仿宋"/>
                <w:sz w:val="24"/>
              </w:rPr>
            </w:pPr>
            <w:r>
              <w:rPr>
                <w:rFonts w:ascii="仿宋" w:eastAsia="仿宋" w:hAnsi="仿宋" w:cs="仿宋" w:hint="eastAsia"/>
                <w:sz w:val="24"/>
              </w:rPr>
              <w:t>1.故障报修的响应时间：一般性问题</w:t>
            </w:r>
            <w:r>
              <w:rPr>
                <w:rFonts w:ascii="仿宋" w:eastAsia="仿宋" w:hAnsi="仿宋" w:cs="仿宋" w:hint="eastAsia"/>
                <w:color w:val="FF0000"/>
                <w:sz w:val="24"/>
              </w:rPr>
              <w:t>1</w:t>
            </w:r>
            <w:r>
              <w:rPr>
                <w:rFonts w:ascii="仿宋" w:eastAsia="仿宋" w:hAnsi="仿宋" w:cs="仿宋" w:hint="eastAsia"/>
                <w:sz w:val="24"/>
              </w:rPr>
              <w:t>小时内响应，重大故障应启动应急预案；</w:t>
            </w:r>
          </w:p>
          <w:p w:rsidR="00426864" w:rsidRDefault="00A62A52">
            <w:pPr>
              <w:spacing w:line="360" w:lineRule="exact"/>
              <w:jc w:val="left"/>
              <w:rPr>
                <w:rFonts w:ascii="仿宋" w:eastAsia="仿宋" w:hAnsi="仿宋" w:cs="仿宋"/>
                <w:sz w:val="24"/>
              </w:rPr>
            </w:pPr>
            <w:r>
              <w:rPr>
                <w:rFonts w:ascii="仿宋" w:eastAsia="仿宋" w:hAnsi="仿宋" w:cs="仿宋" w:hint="eastAsia"/>
                <w:sz w:val="24"/>
              </w:rPr>
              <w:t>2.成交供应商提供7×24小时的电话、QQ远程协助、现场支持等服务；</w:t>
            </w:r>
          </w:p>
          <w:p w:rsidR="00426864" w:rsidRDefault="00A62A52">
            <w:pPr>
              <w:spacing w:line="360" w:lineRule="exact"/>
              <w:jc w:val="left"/>
              <w:rPr>
                <w:rFonts w:ascii="仿宋" w:eastAsia="仿宋" w:hAnsi="仿宋" w:cs="仿宋"/>
                <w:sz w:val="24"/>
              </w:rPr>
            </w:pPr>
            <w:r>
              <w:rPr>
                <w:rFonts w:ascii="仿宋" w:eastAsia="仿宋" w:hAnsi="仿宋" w:cs="仿宋" w:hint="eastAsia"/>
                <w:sz w:val="24"/>
              </w:rPr>
              <w:t>3.质保期内定期对系统进行维护和最新版本的软件升级、系统运行维护服务、数据维护服务、在线技术支持、主动式服务、快速响应等服务；质保期内出现故障，需派出技术工程师到达现场处理故障，并承担一切费用；</w:t>
            </w:r>
          </w:p>
        </w:tc>
      </w:tr>
      <w:tr w:rsidR="00426864">
        <w:trPr>
          <w:trHeight w:val="1194"/>
          <w:jc w:val="center"/>
        </w:trPr>
        <w:tc>
          <w:tcPr>
            <w:tcW w:w="1795" w:type="dxa"/>
          </w:tcPr>
          <w:p w:rsidR="00426864" w:rsidRDefault="00A62A52">
            <w:pPr>
              <w:spacing w:line="360" w:lineRule="exact"/>
              <w:jc w:val="left"/>
              <w:rPr>
                <w:rFonts w:ascii="仿宋" w:eastAsia="仿宋" w:hAnsi="仿宋" w:cs="仿宋"/>
                <w:sz w:val="24"/>
              </w:rPr>
            </w:pPr>
            <w:r>
              <w:rPr>
                <w:rFonts w:ascii="仿宋" w:eastAsia="仿宋" w:hAnsi="仿宋" w:cs="仿宋" w:hint="eastAsia"/>
                <w:sz w:val="24"/>
              </w:rPr>
              <w:t>培训</w:t>
            </w:r>
          </w:p>
        </w:tc>
        <w:tc>
          <w:tcPr>
            <w:tcW w:w="8031" w:type="dxa"/>
          </w:tcPr>
          <w:p w:rsidR="00426864" w:rsidRDefault="00A62A52">
            <w:pPr>
              <w:spacing w:line="360" w:lineRule="exact"/>
              <w:jc w:val="left"/>
              <w:rPr>
                <w:rFonts w:ascii="仿宋" w:eastAsia="仿宋" w:hAnsi="仿宋" w:cs="仿宋"/>
                <w:sz w:val="24"/>
              </w:rPr>
            </w:pPr>
            <w:r>
              <w:rPr>
                <w:rFonts w:ascii="仿宋" w:eastAsia="仿宋" w:hAnsi="仿宋" w:cs="仿宋" w:hint="eastAsia"/>
                <w:sz w:val="24"/>
              </w:rPr>
              <w:t>供应商对其提供产品或服务的使用和操作应尽培训义务。供应商应提供对采购人的基本培训，使采购人使用人员熟悉掌握培训内容，熟练掌握全部功能，培训的相关费用包括在报价中，采购人不再另行支付。</w:t>
            </w:r>
          </w:p>
        </w:tc>
      </w:tr>
    </w:tbl>
    <w:p w:rsidR="00426864" w:rsidRDefault="00426864"/>
    <w:p w:rsidR="00426864" w:rsidRDefault="00A62A52">
      <w:pPr>
        <w:spacing w:line="360" w:lineRule="auto"/>
        <w:rPr>
          <w:rFonts w:ascii="仿宋" w:eastAsia="仿宋" w:hAnsi="仿宋"/>
          <w:sz w:val="24"/>
        </w:rPr>
      </w:pPr>
      <w:r>
        <w:rPr>
          <w:rFonts w:ascii="仿宋" w:eastAsia="仿宋" w:hAnsi="仿宋" w:hint="eastAsia"/>
          <w:sz w:val="24"/>
        </w:rPr>
        <w:t>评分办法</w:t>
      </w:r>
    </w:p>
    <w:p w:rsidR="00426864" w:rsidRDefault="00A62A52">
      <w:pPr>
        <w:spacing w:line="360" w:lineRule="auto"/>
        <w:rPr>
          <w:rFonts w:ascii="仿宋" w:eastAsia="仿宋" w:hAnsi="仿宋"/>
          <w:sz w:val="24"/>
        </w:rPr>
      </w:pPr>
      <w:r>
        <w:rPr>
          <w:rFonts w:ascii="仿宋" w:eastAsia="仿宋" w:hAnsi="仿宋" w:hint="eastAsia"/>
          <w:sz w:val="24"/>
        </w:rPr>
        <w:t>一、评分项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560"/>
        <w:gridCol w:w="994"/>
        <w:gridCol w:w="6519"/>
      </w:tblGrid>
      <w:tr w:rsidR="00426864">
        <w:trPr>
          <w:trHeight w:val="727"/>
        </w:trPr>
        <w:tc>
          <w:tcPr>
            <w:tcW w:w="9889" w:type="dxa"/>
            <w:gridSpan w:val="4"/>
            <w:vAlign w:val="center"/>
          </w:tcPr>
          <w:p w:rsidR="00426864" w:rsidRDefault="00A62A52">
            <w:pPr>
              <w:widowControl/>
              <w:spacing w:beforeLines="50" w:before="156" w:afterLines="50" w:after="156" w:line="360" w:lineRule="auto"/>
              <w:jc w:val="left"/>
              <w:rPr>
                <w:rFonts w:ascii="仿宋" w:eastAsia="仿宋" w:hAnsi="仿宋" w:cs="仿宋"/>
                <w:kern w:val="0"/>
                <w:sz w:val="24"/>
              </w:rPr>
            </w:pPr>
            <w:r>
              <w:rPr>
                <w:rFonts w:ascii="仿宋" w:eastAsia="仿宋" w:hAnsi="仿宋" w:cs="仿宋" w:hint="eastAsia"/>
                <w:kern w:val="0"/>
                <w:sz w:val="24"/>
              </w:rPr>
              <w:t>1.价格分（30分）</w:t>
            </w:r>
          </w:p>
        </w:tc>
      </w:tr>
      <w:tr w:rsidR="00426864">
        <w:trPr>
          <w:trHeight w:val="93"/>
        </w:trPr>
        <w:tc>
          <w:tcPr>
            <w:tcW w:w="816" w:type="dxa"/>
            <w:vAlign w:val="center"/>
          </w:tcPr>
          <w:p w:rsidR="00426864" w:rsidRDefault="00A62A52">
            <w:pPr>
              <w:widowControl/>
              <w:tabs>
                <w:tab w:val="left" w:pos="420"/>
              </w:tabs>
              <w:spacing w:beforeLines="50" w:before="156" w:afterLines="50" w:after="156" w:line="360" w:lineRule="auto"/>
              <w:jc w:val="left"/>
              <w:rPr>
                <w:rFonts w:ascii="仿宋" w:eastAsia="仿宋" w:hAnsi="仿宋" w:cs="仿宋"/>
                <w:kern w:val="0"/>
                <w:sz w:val="24"/>
              </w:rPr>
            </w:pPr>
            <w:r>
              <w:rPr>
                <w:rFonts w:ascii="仿宋" w:eastAsia="仿宋" w:hAnsi="仿宋" w:cs="仿宋" w:hint="eastAsia"/>
                <w:kern w:val="0"/>
                <w:sz w:val="24"/>
              </w:rPr>
              <w:t>序号</w:t>
            </w:r>
          </w:p>
        </w:tc>
        <w:tc>
          <w:tcPr>
            <w:tcW w:w="1560" w:type="dxa"/>
            <w:vAlign w:val="center"/>
          </w:tcPr>
          <w:p w:rsidR="00426864" w:rsidRDefault="00A62A52">
            <w:pPr>
              <w:widowControl/>
              <w:spacing w:beforeLines="50" w:before="156" w:afterLines="50" w:after="156" w:line="360" w:lineRule="auto"/>
              <w:jc w:val="center"/>
              <w:rPr>
                <w:rFonts w:ascii="仿宋" w:eastAsia="仿宋" w:hAnsi="仿宋" w:cs="仿宋"/>
                <w:kern w:val="0"/>
                <w:sz w:val="24"/>
              </w:rPr>
            </w:pPr>
            <w:r>
              <w:rPr>
                <w:rFonts w:ascii="仿宋" w:eastAsia="仿宋" w:hAnsi="仿宋" w:cs="仿宋" w:hint="eastAsia"/>
                <w:kern w:val="0"/>
                <w:sz w:val="24"/>
              </w:rPr>
              <w:t>评分因素</w:t>
            </w:r>
          </w:p>
        </w:tc>
        <w:tc>
          <w:tcPr>
            <w:tcW w:w="994" w:type="dxa"/>
            <w:vAlign w:val="center"/>
          </w:tcPr>
          <w:p w:rsidR="00426864" w:rsidRDefault="00A62A52">
            <w:pPr>
              <w:widowControl/>
              <w:spacing w:beforeLines="50" w:before="156" w:afterLines="50" w:after="156" w:line="360" w:lineRule="auto"/>
              <w:jc w:val="center"/>
              <w:rPr>
                <w:rFonts w:ascii="仿宋" w:eastAsia="仿宋" w:hAnsi="仿宋" w:cs="仿宋"/>
                <w:kern w:val="0"/>
                <w:sz w:val="24"/>
              </w:rPr>
            </w:pPr>
            <w:r>
              <w:rPr>
                <w:rFonts w:ascii="仿宋" w:eastAsia="仿宋" w:hAnsi="仿宋" w:cs="仿宋" w:hint="eastAsia"/>
                <w:kern w:val="0"/>
                <w:sz w:val="24"/>
              </w:rPr>
              <w:t>分值</w:t>
            </w:r>
          </w:p>
        </w:tc>
        <w:tc>
          <w:tcPr>
            <w:tcW w:w="6519" w:type="dxa"/>
          </w:tcPr>
          <w:p w:rsidR="00426864" w:rsidRDefault="00A62A52">
            <w:pPr>
              <w:widowControl/>
              <w:spacing w:beforeLines="50" w:before="156" w:afterLines="50" w:after="156" w:line="360" w:lineRule="auto"/>
              <w:jc w:val="left"/>
              <w:rPr>
                <w:rFonts w:ascii="仿宋" w:eastAsia="仿宋" w:hAnsi="仿宋" w:cs="仿宋"/>
                <w:kern w:val="0"/>
                <w:sz w:val="24"/>
              </w:rPr>
            </w:pPr>
            <w:r>
              <w:rPr>
                <w:rFonts w:ascii="仿宋" w:eastAsia="仿宋" w:hAnsi="仿宋" w:cs="仿宋" w:hint="eastAsia"/>
                <w:kern w:val="0"/>
                <w:sz w:val="24"/>
              </w:rPr>
              <w:t>评分准则</w:t>
            </w:r>
          </w:p>
        </w:tc>
      </w:tr>
      <w:tr w:rsidR="00426864">
        <w:trPr>
          <w:trHeight w:val="1974"/>
        </w:trPr>
        <w:tc>
          <w:tcPr>
            <w:tcW w:w="816" w:type="dxa"/>
          </w:tcPr>
          <w:p w:rsidR="00426864" w:rsidRDefault="00A62A52">
            <w:pPr>
              <w:tabs>
                <w:tab w:val="left" w:pos="704"/>
                <w:tab w:val="left" w:pos="846"/>
              </w:tabs>
              <w:spacing w:line="360" w:lineRule="auto"/>
              <w:rPr>
                <w:rFonts w:ascii="仿宋" w:eastAsia="仿宋" w:hAnsi="仿宋" w:cs="仿宋"/>
                <w:sz w:val="24"/>
              </w:rPr>
            </w:pPr>
            <w:r>
              <w:rPr>
                <w:rFonts w:ascii="仿宋" w:eastAsia="仿宋" w:hAnsi="仿宋" w:cs="仿宋" w:hint="eastAsia"/>
                <w:color w:val="000000"/>
                <w:sz w:val="24"/>
              </w:rPr>
              <w:t>1</w:t>
            </w:r>
          </w:p>
        </w:tc>
        <w:tc>
          <w:tcPr>
            <w:tcW w:w="1560" w:type="dxa"/>
          </w:tcPr>
          <w:p w:rsidR="00426864" w:rsidRDefault="00A62A52">
            <w:pPr>
              <w:spacing w:line="360" w:lineRule="auto"/>
              <w:rPr>
                <w:rFonts w:ascii="仿宋" w:eastAsia="仿宋" w:hAnsi="仿宋" w:cs="仿宋"/>
                <w:sz w:val="24"/>
              </w:rPr>
            </w:pPr>
            <w:r>
              <w:rPr>
                <w:rFonts w:ascii="仿宋" w:eastAsia="仿宋" w:hAnsi="仿宋" w:cs="仿宋" w:hint="eastAsia"/>
                <w:color w:val="000000"/>
                <w:sz w:val="24"/>
              </w:rPr>
              <w:t>价格分</w:t>
            </w:r>
          </w:p>
        </w:tc>
        <w:tc>
          <w:tcPr>
            <w:tcW w:w="994" w:type="dxa"/>
          </w:tcPr>
          <w:p w:rsidR="00426864" w:rsidRDefault="00A62A52">
            <w:pPr>
              <w:spacing w:line="360" w:lineRule="auto"/>
              <w:rPr>
                <w:rFonts w:ascii="仿宋" w:eastAsia="仿宋" w:hAnsi="仿宋" w:cs="仿宋"/>
                <w:sz w:val="24"/>
              </w:rPr>
            </w:pPr>
            <w:r>
              <w:rPr>
                <w:rFonts w:ascii="仿宋" w:eastAsia="仿宋" w:hAnsi="仿宋" w:cs="仿宋" w:hint="eastAsia"/>
                <w:color w:val="000000"/>
                <w:sz w:val="24"/>
              </w:rPr>
              <w:t>30</w:t>
            </w:r>
          </w:p>
        </w:tc>
        <w:tc>
          <w:tcPr>
            <w:tcW w:w="6519" w:type="dxa"/>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满足询价文件要求且参询价格最低的参询报价为评标基准价，其价格分为满分。其他参询单位的价格分统一按照下列公式计算：</w:t>
            </w:r>
          </w:p>
          <w:p w:rsidR="00426864" w:rsidRDefault="00A62A52">
            <w:pPr>
              <w:spacing w:line="360" w:lineRule="auto"/>
              <w:rPr>
                <w:rFonts w:ascii="仿宋" w:eastAsia="仿宋" w:hAnsi="仿宋" w:cs="仿宋"/>
                <w:sz w:val="24"/>
              </w:rPr>
            </w:pPr>
            <w:r>
              <w:rPr>
                <w:rFonts w:ascii="仿宋" w:eastAsia="仿宋" w:hAnsi="仿宋" w:cs="仿宋" w:hint="eastAsia"/>
                <w:kern w:val="0"/>
                <w:sz w:val="24"/>
              </w:rPr>
              <w:t>参询报价得分=(评标基准价／参询报价)×30</w:t>
            </w:r>
          </w:p>
        </w:tc>
      </w:tr>
      <w:tr w:rsidR="00426864">
        <w:trPr>
          <w:trHeight w:val="900"/>
        </w:trPr>
        <w:tc>
          <w:tcPr>
            <w:tcW w:w="9889" w:type="dxa"/>
            <w:gridSpan w:val="4"/>
            <w:vAlign w:val="center"/>
          </w:tcPr>
          <w:p w:rsidR="00426864" w:rsidRDefault="00A62A52">
            <w:pPr>
              <w:pStyle w:val="ad"/>
              <w:spacing w:line="400" w:lineRule="exact"/>
              <w:rPr>
                <w:rFonts w:ascii="仿宋" w:eastAsia="仿宋" w:hAnsi="仿宋"/>
                <w:bCs/>
                <w:sz w:val="24"/>
                <w:szCs w:val="24"/>
              </w:rPr>
            </w:pPr>
            <w:r>
              <w:rPr>
                <w:rFonts w:ascii="仿宋" w:eastAsia="仿宋" w:hAnsi="仿宋" w:cs="仿宋" w:hint="eastAsia"/>
                <w:kern w:val="0"/>
                <w:sz w:val="24"/>
              </w:rPr>
              <w:t>2</w:t>
            </w:r>
            <w:r>
              <w:rPr>
                <w:rFonts w:ascii="仿宋" w:eastAsia="仿宋" w:hAnsi="仿宋" w:cs="仿宋" w:hint="eastAsia"/>
                <w:color w:val="000000"/>
                <w:sz w:val="24"/>
                <w:szCs w:val="24"/>
              </w:rPr>
              <w:t>.项目要求及技术需求响应分（40分）</w:t>
            </w:r>
          </w:p>
        </w:tc>
      </w:tr>
      <w:tr w:rsidR="00426864">
        <w:trPr>
          <w:trHeight w:val="1166"/>
        </w:trPr>
        <w:tc>
          <w:tcPr>
            <w:tcW w:w="816"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1</w:t>
            </w:r>
          </w:p>
        </w:tc>
        <w:tc>
          <w:tcPr>
            <w:tcW w:w="1560"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技术性能分</w:t>
            </w:r>
          </w:p>
        </w:tc>
        <w:tc>
          <w:tcPr>
            <w:tcW w:w="994"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25</w:t>
            </w:r>
          </w:p>
        </w:tc>
        <w:tc>
          <w:tcPr>
            <w:tcW w:w="6519" w:type="dxa"/>
          </w:tcPr>
          <w:p w:rsidR="00426864" w:rsidRDefault="00A62A52">
            <w:pPr>
              <w:spacing w:afterLines="100" w:after="312" w:line="360" w:lineRule="auto"/>
            </w:pPr>
            <w:r>
              <w:rPr>
                <w:rFonts w:ascii="仿宋" w:eastAsia="仿宋" w:hAnsi="仿宋" w:cs="仿宋" w:hint="eastAsia"/>
                <w:kern w:val="0"/>
                <w:sz w:val="24"/>
              </w:rPr>
              <w:t>产品技术参数全部满足询价要求的，得满分25分；加注“▲”号的功能要求有负偏离的，一项扣2分，未加注“▲”号的功能要求有负偏离的，一项扣1分，扣完为止。注：不编列技术偏离表或技术偏离表与项目采购需求不实行一一对照的，扣5分。</w:t>
            </w:r>
          </w:p>
        </w:tc>
      </w:tr>
      <w:tr w:rsidR="00426864">
        <w:trPr>
          <w:trHeight w:val="766"/>
        </w:trPr>
        <w:tc>
          <w:tcPr>
            <w:tcW w:w="816"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2</w:t>
            </w:r>
          </w:p>
        </w:tc>
        <w:tc>
          <w:tcPr>
            <w:tcW w:w="1560"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系统架构与总体功能设计分</w:t>
            </w:r>
          </w:p>
        </w:tc>
        <w:tc>
          <w:tcPr>
            <w:tcW w:w="994"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9分</w:t>
            </w:r>
          </w:p>
        </w:tc>
        <w:tc>
          <w:tcPr>
            <w:tcW w:w="6519" w:type="dxa"/>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一档（0~3分）：系统架构、总体功能模块满足基本要求，功能点的可行性、合理性、规范性较好，接口设计、系统数据结构设计、数据库设计及模块设计一般；</w:t>
            </w:r>
          </w:p>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二档（3.1~6分）：系统架构、总体功能模块能满足要求，功能点的可行性、合理性、规范性好，接口设计、系统数据结构设计、数据库设计及模块设计较好。</w:t>
            </w:r>
          </w:p>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三档（6.1~9分）：系统架构、总体功能模块完全满足要求，功能点的可行性、合理性、规范性好，接口设计、系统数据结构设计、数据库设计及模块设计非常合理且完善。</w:t>
            </w:r>
          </w:p>
        </w:tc>
      </w:tr>
      <w:tr w:rsidR="00426864">
        <w:trPr>
          <w:trHeight w:val="982"/>
        </w:trPr>
        <w:tc>
          <w:tcPr>
            <w:tcW w:w="816"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3</w:t>
            </w:r>
          </w:p>
        </w:tc>
        <w:tc>
          <w:tcPr>
            <w:tcW w:w="1560"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项目实施服务方案分</w:t>
            </w:r>
          </w:p>
        </w:tc>
        <w:tc>
          <w:tcPr>
            <w:tcW w:w="994"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6分</w:t>
            </w:r>
          </w:p>
        </w:tc>
        <w:tc>
          <w:tcPr>
            <w:tcW w:w="6519"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一档（0~2分）：供应商编制的实施工作组织、质量保证措施及供应商在服务过程中配合工程实施所提供的服务内容、响应时间等方面的阐述一般、具有一定的可实施性。</w:t>
            </w:r>
          </w:p>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二档（2.1~4分）：供应商编制的实施工作组织、质量保证措</w:t>
            </w:r>
            <w:r>
              <w:rPr>
                <w:rFonts w:ascii="仿宋" w:eastAsia="仿宋" w:hAnsi="仿宋" w:cs="仿宋" w:hint="eastAsia"/>
                <w:kern w:val="0"/>
                <w:sz w:val="24"/>
              </w:rPr>
              <w:lastRenderedPageBreak/>
              <w:t>施及供应商在服务过程中配合工程实施所提供的服务内容、响应时间等方面较合理可行、操作可实施性强、能指导实际工作。</w:t>
            </w:r>
          </w:p>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三档（4.1~6分）：供应商编制的实施工作组织、质量保证措施及供应商在服务过程中配合工程实施所提供的服务内容、响应时间等方面的有特点合理可行高、操作可实施性强、能很好的指导实际工作，能提供完整、详细的后续服务方案。</w:t>
            </w:r>
          </w:p>
        </w:tc>
      </w:tr>
      <w:tr w:rsidR="00426864">
        <w:trPr>
          <w:trHeight w:val="848"/>
        </w:trPr>
        <w:tc>
          <w:tcPr>
            <w:tcW w:w="9889" w:type="dxa"/>
            <w:gridSpan w:val="4"/>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lastRenderedPageBreak/>
              <w:t>3.履约能力分（16分）</w:t>
            </w:r>
          </w:p>
        </w:tc>
      </w:tr>
      <w:tr w:rsidR="00426864">
        <w:trPr>
          <w:trHeight w:val="677"/>
        </w:trPr>
        <w:tc>
          <w:tcPr>
            <w:tcW w:w="816"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序号</w:t>
            </w:r>
          </w:p>
        </w:tc>
        <w:tc>
          <w:tcPr>
            <w:tcW w:w="1560"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评分项目</w:t>
            </w:r>
          </w:p>
        </w:tc>
        <w:tc>
          <w:tcPr>
            <w:tcW w:w="994"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分值</w:t>
            </w:r>
          </w:p>
        </w:tc>
        <w:tc>
          <w:tcPr>
            <w:tcW w:w="6519"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评分方式</w:t>
            </w:r>
          </w:p>
        </w:tc>
      </w:tr>
      <w:tr w:rsidR="00426864">
        <w:trPr>
          <w:trHeight w:val="677"/>
        </w:trPr>
        <w:tc>
          <w:tcPr>
            <w:tcW w:w="816"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1</w:t>
            </w:r>
          </w:p>
        </w:tc>
        <w:tc>
          <w:tcPr>
            <w:tcW w:w="1560"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服务能力分</w:t>
            </w:r>
          </w:p>
        </w:tc>
        <w:tc>
          <w:tcPr>
            <w:tcW w:w="994"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8分</w:t>
            </w:r>
          </w:p>
        </w:tc>
        <w:tc>
          <w:tcPr>
            <w:tcW w:w="6519" w:type="dxa"/>
          </w:tcPr>
          <w:p w:rsidR="00426864" w:rsidRDefault="009647B0">
            <w:pPr>
              <w:pStyle w:val="affe"/>
              <w:widowControl/>
              <w:numPr>
                <w:ilvl w:val="0"/>
                <w:numId w:val="3"/>
              </w:numPr>
              <w:spacing w:line="360" w:lineRule="auto"/>
              <w:ind w:firstLineChars="0"/>
              <w:rPr>
                <w:rFonts w:ascii="仿宋" w:eastAsia="仿宋" w:hAnsi="仿宋" w:cs="仿宋"/>
                <w:kern w:val="0"/>
                <w:sz w:val="24"/>
              </w:rPr>
            </w:pPr>
            <w:r>
              <w:rPr>
                <w:rFonts w:ascii="仿宋" w:eastAsia="仿宋" w:hAnsi="仿宋" w:cs="仿宋" w:hint="eastAsia"/>
                <w:kern w:val="0"/>
                <w:sz w:val="24"/>
              </w:rPr>
              <w:t>产</w:t>
            </w:r>
            <w:r w:rsidR="00A62A52">
              <w:rPr>
                <w:rFonts w:ascii="仿宋" w:eastAsia="仿宋" w:hAnsi="仿宋" w:cs="仿宋" w:hint="eastAsia"/>
                <w:kern w:val="0"/>
                <w:sz w:val="24"/>
              </w:rPr>
              <w:t>品供应商或产品开发厂商具有ISO9001质量管理体系认证证书的，得1分；</w:t>
            </w:r>
          </w:p>
          <w:p w:rsidR="00426864" w:rsidRDefault="009647B0">
            <w:pPr>
              <w:pStyle w:val="affe"/>
              <w:widowControl/>
              <w:numPr>
                <w:ilvl w:val="0"/>
                <w:numId w:val="3"/>
              </w:numPr>
              <w:spacing w:line="360" w:lineRule="auto"/>
              <w:ind w:firstLineChars="0"/>
              <w:rPr>
                <w:rFonts w:ascii="仿宋" w:eastAsia="仿宋" w:hAnsi="仿宋" w:cs="仿宋"/>
                <w:kern w:val="0"/>
                <w:sz w:val="24"/>
              </w:rPr>
            </w:pPr>
            <w:r>
              <w:rPr>
                <w:rFonts w:ascii="仿宋" w:eastAsia="仿宋" w:hAnsi="仿宋" w:cs="仿宋" w:hint="eastAsia"/>
                <w:kern w:val="0"/>
                <w:sz w:val="24"/>
              </w:rPr>
              <w:t>产</w:t>
            </w:r>
            <w:r w:rsidR="00A62A52">
              <w:rPr>
                <w:rFonts w:ascii="仿宋" w:eastAsia="仿宋" w:hAnsi="仿宋" w:cs="仿宋" w:hint="eastAsia"/>
                <w:kern w:val="0"/>
                <w:sz w:val="24"/>
              </w:rPr>
              <w:t>品供应商或产品开发厂商具有ISO/IEC22301业务连续性</w:t>
            </w:r>
            <w:bookmarkStart w:id="0" w:name="_GoBack"/>
            <w:bookmarkEnd w:id="0"/>
            <w:r w:rsidR="00A62A52">
              <w:rPr>
                <w:rFonts w:ascii="仿宋" w:eastAsia="仿宋" w:hAnsi="仿宋" w:cs="仿宋" w:hint="eastAsia"/>
                <w:kern w:val="0"/>
                <w:sz w:val="24"/>
              </w:rPr>
              <w:t>管理体系认证证书的，得1分；</w:t>
            </w:r>
          </w:p>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③产品供应商或产品开发厂商具有ISO/IEC27701隐私信息管理体系认证证书的，得2分；</w:t>
            </w:r>
          </w:p>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④产品供应商或产品开发厂商具有ISO14001环境管理体系认证证书的，得2分；</w:t>
            </w:r>
          </w:p>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⑤产品供应商或产品开发厂商具有ISO45001职业健康安全管理体系认证证书的，得2分；</w:t>
            </w:r>
          </w:p>
        </w:tc>
      </w:tr>
      <w:tr w:rsidR="00426864">
        <w:trPr>
          <w:trHeight w:val="677"/>
        </w:trPr>
        <w:tc>
          <w:tcPr>
            <w:tcW w:w="816"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2</w:t>
            </w:r>
          </w:p>
        </w:tc>
        <w:tc>
          <w:tcPr>
            <w:tcW w:w="1560"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业绩分</w:t>
            </w:r>
          </w:p>
        </w:tc>
        <w:tc>
          <w:tcPr>
            <w:tcW w:w="994"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8分</w:t>
            </w:r>
          </w:p>
        </w:tc>
        <w:tc>
          <w:tcPr>
            <w:tcW w:w="6519" w:type="dxa"/>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产品供应商或产品开发厂商自2020年以来同类项目的业绩每提供一个得2分，满分</w:t>
            </w:r>
            <w:r w:rsidR="008B3634">
              <w:rPr>
                <w:rFonts w:ascii="仿宋" w:eastAsia="仿宋" w:hAnsi="仿宋" w:cs="仿宋"/>
                <w:kern w:val="0"/>
                <w:sz w:val="24"/>
              </w:rPr>
              <w:t>8</w:t>
            </w:r>
            <w:r>
              <w:rPr>
                <w:rFonts w:ascii="仿宋" w:eastAsia="仿宋" w:hAnsi="仿宋" w:cs="仿宋" w:hint="eastAsia"/>
                <w:kern w:val="0"/>
                <w:sz w:val="24"/>
              </w:rPr>
              <w:t>分。</w:t>
            </w:r>
          </w:p>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注：以有效的中标（成交）通知书或合同复印件为准。</w:t>
            </w:r>
          </w:p>
        </w:tc>
      </w:tr>
      <w:tr w:rsidR="00426864">
        <w:trPr>
          <w:trHeight w:val="677"/>
        </w:trPr>
        <w:tc>
          <w:tcPr>
            <w:tcW w:w="9889" w:type="dxa"/>
            <w:gridSpan w:val="4"/>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4.售后服务分（14分）</w:t>
            </w:r>
          </w:p>
        </w:tc>
      </w:tr>
      <w:tr w:rsidR="00426864">
        <w:trPr>
          <w:trHeight w:val="677"/>
        </w:trPr>
        <w:tc>
          <w:tcPr>
            <w:tcW w:w="816"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1</w:t>
            </w:r>
          </w:p>
        </w:tc>
        <w:tc>
          <w:tcPr>
            <w:tcW w:w="1560"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售后服务方案</w:t>
            </w:r>
          </w:p>
        </w:tc>
        <w:tc>
          <w:tcPr>
            <w:tcW w:w="994"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3</w:t>
            </w:r>
          </w:p>
        </w:tc>
        <w:tc>
          <w:tcPr>
            <w:tcW w:w="6519"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一档：①售后方案详细，有具体的人员安排、服务计划，有具体的售后服务措施及相关承诺、无后续系统完善升级服务、无日常系统应用技术支持服务，得0~1分。</w:t>
            </w:r>
          </w:p>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二档：②售后方案有具体的人员安排、服务计划，有具体的售后服务措施及相关承诺、有后续系统完善升级服务、无日常系统应用技术支持服务，得1.1~2分。</w:t>
            </w:r>
          </w:p>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lastRenderedPageBreak/>
              <w:t>三档：③有售后方案，有具体的人员安排、服务计划，有具体的售后服务措施及相关承诺、有后续系统完善升级服务、有日常系统应用技术支持服务及相关承诺，得2.1~3分。</w:t>
            </w:r>
          </w:p>
          <w:p w:rsidR="00426864" w:rsidRDefault="00426864">
            <w:pPr>
              <w:widowControl/>
              <w:spacing w:line="360" w:lineRule="auto"/>
              <w:rPr>
                <w:rFonts w:ascii="仿宋" w:eastAsia="仿宋" w:hAnsi="仿宋" w:cs="仿宋"/>
                <w:kern w:val="0"/>
                <w:sz w:val="24"/>
              </w:rPr>
            </w:pPr>
          </w:p>
        </w:tc>
      </w:tr>
      <w:tr w:rsidR="00426864">
        <w:trPr>
          <w:trHeight w:val="677"/>
        </w:trPr>
        <w:tc>
          <w:tcPr>
            <w:tcW w:w="816"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lastRenderedPageBreak/>
              <w:t>2</w:t>
            </w:r>
          </w:p>
        </w:tc>
        <w:tc>
          <w:tcPr>
            <w:tcW w:w="1560"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故障响应服务，分档次</w:t>
            </w:r>
          </w:p>
        </w:tc>
        <w:tc>
          <w:tcPr>
            <w:tcW w:w="994"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5</w:t>
            </w:r>
          </w:p>
        </w:tc>
        <w:tc>
          <w:tcPr>
            <w:tcW w:w="6519"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 xml:space="preserve"> ①遇故障响应时间在1小时内提供远程服务，如无法解决可在6小时内到现场处置；得2分；</w:t>
            </w:r>
          </w:p>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 xml:space="preserve"> ②遇故障响应时间在20分钟以上提供远程服务，如无法解决可在4小时内到现场处置，得3分；</w:t>
            </w:r>
          </w:p>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 xml:space="preserve"> ③遇故障在20分钟内提供远程服务，如无法解决可在2小时内到现场处置，得4分；</w:t>
            </w:r>
          </w:p>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fldChar w:fldCharType="begin"/>
            </w:r>
            <w:r>
              <w:rPr>
                <w:rFonts w:ascii="仿宋" w:eastAsia="仿宋" w:hAnsi="仿宋" w:cs="仿宋" w:hint="eastAsia"/>
                <w:kern w:val="0"/>
                <w:sz w:val="24"/>
              </w:rPr>
              <w:instrText xml:space="preserve"> = 4 \* GB3 </w:instrText>
            </w:r>
            <w:r>
              <w:rPr>
                <w:rFonts w:ascii="仿宋" w:eastAsia="仿宋" w:hAnsi="仿宋" w:cs="仿宋" w:hint="eastAsia"/>
                <w:kern w:val="0"/>
                <w:sz w:val="24"/>
              </w:rPr>
              <w:fldChar w:fldCharType="separate"/>
            </w:r>
            <w:r>
              <w:rPr>
                <w:rFonts w:ascii="仿宋" w:eastAsia="仿宋" w:hAnsi="仿宋" w:cs="仿宋" w:hint="eastAsia"/>
                <w:kern w:val="0"/>
                <w:sz w:val="24"/>
              </w:rPr>
              <w:t>④</w:t>
            </w:r>
            <w:r>
              <w:rPr>
                <w:rFonts w:ascii="仿宋" w:eastAsia="仿宋" w:hAnsi="仿宋" w:cs="仿宋" w:hint="eastAsia"/>
                <w:kern w:val="0"/>
                <w:sz w:val="24"/>
              </w:rPr>
              <w:fldChar w:fldCharType="end"/>
            </w:r>
            <w:r>
              <w:rPr>
                <w:rFonts w:ascii="仿宋" w:eastAsia="仿宋" w:hAnsi="仿宋" w:cs="仿宋" w:hint="eastAsia"/>
                <w:kern w:val="0"/>
                <w:sz w:val="24"/>
              </w:rPr>
              <w:t>遇故障在20分钟内提供远程服务，如无法解决可在1小时内到现场处置，得5分；</w:t>
            </w:r>
          </w:p>
          <w:p w:rsidR="00426864" w:rsidRDefault="00426864">
            <w:pPr>
              <w:widowControl/>
              <w:spacing w:line="360" w:lineRule="auto"/>
              <w:rPr>
                <w:rFonts w:ascii="仿宋" w:eastAsia="仿宋" w:hAnsi="仿宋" w:cs="仿宋"/>
                <w:kern w:val="0"/>
                <w:sz w:val="24"/>
              </w:rPr>
            </w:pPr>
          </w:p>
        </w:tc>
      </w:tr>
      <w:tr w:rsidR="00426864">
        <w:trPr>
          <w:trHeight w:val="677"/>
        </w:trPr>
        <w:tc>
          <w:tcPr>
            <w:tcW w:w="816"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3</w:t>
            </w:r>
          </w:p>
        </w:tc>
        <w:tc>
          <w:tcPr>
            <w:tcW w:w="1560"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免费巡检维保服务分</w:t>
            </w:r>
          </w:p>
        </w:tc>
        <w:tc>
          <w:tcPr>
            <w:tcW w:w="994"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3</w:t>
            </w:r>
          </w:p>
        </w:tc>
        <w:tc>
          <w:tcPr>
            <w:tcW w:w="6519"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①质保期内提供到现场免费巡检维保服务，一年2次的，得1分；</w:t>
            </w:r>
          </w:p>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②质保期内提供到现场免费巡检维保服务，一年3次的，得2分；</w:t>
            </w:r>
          </w:p>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③质保期内提供到现场免费巡检维保服务，一年4次的，得3分。</w:t>
            </w:r>
          </w:p>
          <w:p w:rsidR="00426864" w:rsidRDefault="00426864">
            <w:pPr>
              <w:widowControl/>
              <w:spacing w:line="360" w:lineRule="auto"/>
              <w:rPr>
                <w:rFonts w:ascii="仿宋" w:eastAsia="仿宋" w:hAnsi="仿宋" w:cs="仿宋"/>
                <w:kern w:val="0"/>
                <w:sz w:val="24"/>
              </w:rPr>
            </w:pPr>
          </w:p>
        </w:tc>
      </w:tr>
      <w:tr w:rsidR="00426864">
        <w:trPr>
          <w:trHeight w:val="677"/>
        </w:trPr>
        <w:tc>
          <w:tcPr>
            <w:tcW w:w="816"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4</w:t>
            </w:r>
          </w:p>
        </w:tc>
        <w:tc>
          <w:tcPr>
            <w:tcW w:w="1560"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售后免费质保：</w:t>
            </w:r>
          </w:p>
        </w:tc>
        <w:tc>
          <w:tcPr>
            <w:tcW w:w="994"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3</w:t>
            </w:r>
          </w:p>
        </w:tc>
        <w:tc>
          <w:tcPr>
            <w:tcW w:w="6519" w:type="dxa"/>
            <w:vAlign w:val="center"/>
          </w:tcPr>
          <w:p w:rsidR="00426864" w:rsidRDefault="00A62A52">
            <w:pPr>
              <w:widowControl/>
              <w:spacing w:line="360" w:lineRule="auto"/>
              <w:rPr>
                <w:rFonts w:ascii="仿宋" w:eastAsia="仿宋" w:hAnsi="仿宋" w:cs="仿宋"/>
                <w:kern w:val="0"/>
                <w:sz w:val="24"/>
              </w:rPr>
            </w:pPr>
            <w:r>
              <w:rPr>
                <w:rFonts w:ascii="仿宋" w:eastAsia="仿宋" w:hAnsi="仿宋" w:cs="仿宋" w:hint="eastAsia"/>
                <w:kern w:val="0"/>
                <w:sz w:val="24"/>
              </w:rPr>
              <w:t>软件部分提供免费服务的质保时间超过1年以上的，每增加1年，得1分，总分3分。</w:t>
            </w:r>
          </w:p>
          <w:p w:rsidR="00426864" w:rsidRDefault="00426864">
            <w:pPr>
              <w:widowControl/>
              <w:spacing w:line="360" w:lineRule="auto"/>
              <w:rPr>
                <w:rFonts w:ascii="仿宋" w:eastAsia="仿宋" w:hAnsi="仿宋" w:cs="仿宋"/>
                <w:kern w:val="0"/>
                <w:sz w:val="24"/>
              </w:rPr>
            </w:pPr>
          </w:p>
        </w:tc>
      </w:tr>
    </w:tbl>
    <w:p w:rsidR="00426864" w:rsidRDefault="00426864">
      <w:pPr>
        <w:widowControl/>
        <w:spacing w:line="360" w:lineRule="auto"/>
        <w:rPr>
          <w:rFonts w:ascii="仿宋" w:eastAsia="仿宋" w:hAnsi="仿宋" w:cs="仿宋"/>
          <w:kern w:val="0"/>
          <w:sz w:val="24"/>
        </w:rPr>
      </w:pPr>
    </w:p>
    <w:p w:rsidR="00426864" w:rsidRDefault="00A62A52">
      <w:pPr>
        <w:spacing w:line="400" w:lineRule="exact"/>
        <w:ind w:firstLineChars="200" w:firstLine="482"/>
        <w:rPr>
          <w:rFonts w:ascii="仿宋" w:eastAsia="仿宋" w:hAnsi="仿宋"/>
          <w:b/>
          <w:bCs/>
          <w:spacing w:val="-2"/>
          <w:sz w:val="24"/>
        </w:rPr>
      </w:pPr>
      <w:r>
        <w:rPr>
          <w:rFonts w:ascii="仿宋" w:eastAsia="仿宋" w:hAnsi="仿宋" w:hint="eastAsia"/>
          <w:b/>
          <w:sz w:val="24"/>
        </w:rPr>
        <w:t>5</w:t>
      </w:r>
      <w:r>
        <w:rPr>
          <w:rFonts w:ascii="仿宋" w:eastAsia="仿宋" w:hAnsi="仿宋"/>
          <w:b/>
          <w:sz w:val="24"/>
        </w:rPr>
        <w:t>.</w:t>
      </w:r>
      <w:r>
        <w:rPr>
          <w:rFonts w:ascii="仿宋" w:eastAsia="仿宋" w:hAnsi="仿宋"/>
          <w:b/>
          <w:bCs/>
          <w:spacing w:val="-2"/>
          <w:sz w:val="24"/>
        </w:rPr>
        <w:t>总得分</w:t>
      </w:r>
    </w:p>
    <w:p w:rsidR="00426864" w:rsidRDefault="00A62A52">
      <w:pPr>
        <w:spacing w:line="400" w:lineRule="exact"/>
        <w:ind w:firstLineChars="200" w:firstLine="472"/>
        <w:rPr>
          <w:rFonts w:ascii="仿宋" w:eastAsia="仿宋" w:hAnsi="仿宋"/>
          <w:spacing w:val="-2"/>
          <w:sz w:val="24"/>
        </w:rPr>
      </w:pPr>
      <w:r>
        <w:rPr>
          <w:rFonts w:ascii="仿宋" w:eastAsia="仿宋" w:hAnsi="仿宋"/>
          <w:spacing w:val="-2"/>
          <w:sz w:val="24"/>
        </w:rPr>
        <w:t>总得分=1 + 2 + 3 + 4 。</w:t>
      </w:r>
    </w:p>
    <w:p w:rsidR="00426864" w:rsidRDefault="00A62A52">
      <w:pPr>
        <w:spacing w:line="400" w:lineRule="exact"/>
        <w:ind w:firstLineChars="200" w:firstLine="480"/>
        <w:rPr>
          <w:rFonts w:ascii="仿宋" w:eastAsia="仿宋" w:hAnsi="仿宋"/>
          <w:sz w:val="24"/>
        </w:rPr>
      </w:pPr>
      <w:r>
        <w:rPr>
          <w:rFonts w:ascii="仿宋" w:eastAsia="仿宋" w:hAnsi="仿宋"/>
          <w:sz w:val="24"/>
        </w:rPr>
        <w:t>备注：以上详细评审</w:t>
      </w:r>
      <w:r>
        <w:rPr>
          <w:rFonts w:ascii="仿宋" w:eastAsia="仿宋" w:hAnsi="仿宋" w:hint="eastAsia"/>
          <w:sz w:val="24"/>
        </w:rPr>
        <w:t>中2、4</w:t>
      </w:r>
      <w:r>
        <w:rPr>
          <w:rFonts w:ascii="仿宋" w:eastAsia="仿宋" w:hAnsi="仿宋"/>
          <w:sz w:val="24"/>
        </w:rPr>
        <w:t>项由评委独立评定，将评委的分数进行平均，计算出各</w:t>
      </w:r>
      <w:r>
        <w:rPr>
          <w:rFonts w:ascii="仿宋" w:eastAsia="仿宋" w:hAnsi="仿宋" w:hint="eastAsia"/>
          <w:sz w:val="24"/>
        </w:rPr>
        <w:t>供应商</w:t>
      </w:r>
      <w:r>
        <w:rPr>
          <w:rFonts w:ascii="仿宋" w:eastAsia="仿宋" w:hAnsi="仿宋"/>
          <w:sz w:val="24"/>
        </w:rPr>
        <w:t>的得分。</w:t>
      </w:r>
    </w:p>
    <w:p w:rsidR="00426864" w:rsidRDefault="00A62A52">
      <w:pPr>
        <w:spacing w:line="360" w:lineRule="auto"/>
        <w:rPr>
          <w:rFonts w:ascii="仿宋" w:eastAsia="仿宋" w:hAnsi="仿宋"/>
          <w:b/>
          <w:sz w:val="24"/>
        </w:rPr>
      </w:pPr>
      <w:bookmarkStart w:id="1" w:name="_Toc4875"/>
      <w:r>
        <w:rPr>
          <w:rFonts w:ascii="仿宋" w:eastAsia="仿宋" w:hAnsi="仿宋" w:hint="eastAsia"/>
          <w:b/>
          <w:sz w:val="24"/>
        </w:rPr>
        <w:t>二</w:t>
      </w:r>
      <w:r>
        <w:rPr>
          <w:rFonts w:ascii="仿宋" w:eastAsia="仿宋" w:hAnsi="仿宋"/>
          <w:b/>
          <w:sz w:val="24"/>
        </w:rPr>
        <w:t>、</w:t>
      </w:r>
      <w:r>
        <w:rPr>
          <w:rFonts w:ascii="仿宋" w:eastAsia="仿宋" w:hAnsi="仿宋" w:hint="eastAsia"/>
          <w:b/>
          <w:sz w:val="24"/>
        </w:rPr>
        <w:t>综合评选</w:t>
      </w:r>
      <w:r>
        <w:rPr>
          <w:rFonts w:ascii="仿宋" w:eastAsia="仿宋" w:hAnsi="仿宋"/>
          <w:b/>
          <w:sz w:val="24"/>
        </w:rPr>
        <w:t>推荐原则</w:t>
      </w:r>
      <w:bookmarkEnd w:id="1"/>
    </w:p>
    <w:p w:rsidR="00426864" w:rsidRDefault="00A62A52">
      <w:pPr>
        <w:spacing w:line="400" w:lineRule="exact"/>
        <w:ind w:firstLineChars="200" w:firstLine="480"/>
        <w:rPr>
          <w:rFonts w:ascii="仿宋" w:eastAsia="仿宋" w:hAnsi="仿宋"/>
          <w:bCs/>
          <w:sz w:val="24"/>
        </w:rPr>
      </w:pPr>
      <w:r>
        <w:rPr>
          <w:rFonts w:ascii="仿宋" w:eastAsia="仿宋" w:hAnsi="仿宋" w:hint="eastAsia"/>
          <w:bCs/>
          <w:sz w:val="24"/>
        </w:rPr>
        <w:t>（一）综合评选委员会由医院院内人员组成，评选委员会根据综合得分由高到低排序，若得分相同时，按评选报价由低到高排序；若仍相同的，依次按照技术参数分、综合信誉分、服务承诺分由高到低排序。</w:t>
      </w:r>
    </w:p>
    <w:p w:rsidR="00426864" w:rsidRDefault="00A62A52">
      <w:pPr>
        <w:pStyle w:val="a0"/>
        <w:rPr>
          <w:rFonts w:ascii="仿宋" w:eastAsia="仿宋" w:hAnsi="仿宋"/>
          <w:bCs/>
          <w:kern w:val="2"/>
          <w:szCs w:val="24"/>
        </w:rPr>
      </w:pPr>
      <w:r>
        <w:rPr>
          <w:rFonts w:ascii="仿宋" w:eastAsia="仿宋" w:hAnsi="仿宋" w:hint="eastAsia"/>
          <w:bCs/>
          <w:kern w:val="2"/>
          <w:szCs w:val="24"/>
        </w:rPr>
        <w:lastRenderedPageBreak/>
        <w:t>（二）采购人将以排名第一的参询报价、参数等内容为主要参照，送第三方招标代理公开招标。</w:t>
      </w:r>
    </w:p>
    <w:p w:rsidR="00426864" w:rsidRDefault="00A62A52">
      <w:pPr>
        <w:spacing w:line="400" w:lineRule="exact"/>
        <w:ind w:firstLineChars="200" w:firstLine="480"/>
        <w:rPr>
          <w:rFonts w:ascii="仿宋" w:eastAsia="仿宋" w:hAnsi="仿宋"/>
          <w:bCs/>
          <w:sz w:val="24"/>
        </w:rPr>
      </w:pPr>
      <w:r>
        <w:rPr>
          <w:rFonts w:ascii="仿宋" w:eastAsia="仿宋" w:hAnsi="仿宋" w:hint="eastAsia"/>
          <w:bCs/>
          <w:sz w:val="24"/>
        </w:rPr>
        <w:t>（三</w:t>
      </w:r>
      <w:r>
        <w:rPr>
          <w:rFonts w:ascii="仿宋" w:eastAsia="仿宋" w:hAnsi="仿宋"/>
          <w:bCs/>
          <w:sz w:val="24"/>
        </w:rPr>
        <w:t>）</w:t>
      </w:r>
      <w:r>
        <w:rPr>
          <w:rFonts w:ascii="仿宋" w:eastAsia="仿宋" w:hAnsi="仿宋" w:hint="eastAsia"/>
          <w:bCs/>
          <w:sz w:val="24"/>
        </w:rPr>
        <w:t>评选委员会</w:t>
      </w:r>
      <w:r>
        <w:rPr>
          <w:rFonts w:ascii="仿宋" w:eastAsia="仿宋" w:hAnsi="仿宋"/>
          <w:bCs/>
          <w:sz w:val="24"/>
        </w:rPr>
        <w:t>认为</w:t>
      </w:r>
      <w:r>
        <w:rPr>
          <w:rFonts w:ascii="仿宋" w:eastAsia="仿宋" w:hAnsi="仿宋" w:hint="eastAsia"/>
          <w:bCs/>
          <w:sz w:val="24"/>
        </w:rPr>
        <w:t>参询</w:t>
      </w:r>
      <w:r>
        <w:rPr>
          <w:rFonts w:ascii="仿宋" w:eastAsia="仿宋" w:hAnsi="仿宋"/>
          <w:bCs/>
          <w:sz w:val="24"/>
        </w:rPr>
        <w:t>供应商的报价明显低于其他通过符合性审查供应商的报价，有可能影响产品质量</w:t>
      </w:r>
      <w:r>
        <w:rPr>
          <w:rFonts w:ascii="仿宋" w:eastAsia="仿宋" w:hAnsi="仿宋" w:hint="eastAsia"/>
          <w:bCs/>
          <w:sz w:val="24"/>
        </w:rPr>
        <w:t>及服务质量</w:t>
      </w:r>
      <w:r>
        <w:rPr>
          <w:rFonts w:ascii="仿宋" w:eastAsia="仿宋" w:hAnsi="仿宋"/>
          <w:bCs/>
          <w:sz w:val="24"/>
        </w:rPr>
        <w:t>或者不能诚信履约的，应当要求其在</w:t>
      </w:r>
      <w:r>
        <w:rPr>
          <w:rFonts w:ascii="仿宋" w:eastAsia="仿宋" w:hAnsi="仿宋" w:hint="eastAsia"/>
          <w:bCs/>
          <w:sz w:val="24"/>
        </w:rPr>
        <w:t>询价</w:t>
      </w:r>
      <w:r>
        <w:rPr>
          <w:rFonts w:ascii="仿宋" w:eastAsia="仿宋" w:hAnsi="仿宋"/>
          <w:bCs/>
          <w:sz w:val="24"/>
        </w:rPr>
        <w:t>合理的时间内提供书面说明，必要时提交相关证明材料；供应商不能证明其报价合理性的，</w:t>
      </w:r>
      <w:r>
        <w:rPr>
          <w:rFonts w:ascii="仿宋" w:eastAsia="仿宋" w:hAnsi="仿宋" w:hint="eastAsia"/>
          <w:bCs/>
          <w:sz w:val="24"/>
        </w:rPr>
        <w:t>评选委员会</w:t>
      </w:r>
      <w:r>
        <w:rPr>
          <w:rFonts w:ascii="仿宋" w:eastAsia="仿宋" w:hAnsi="仿宋"/>
          <w:bCs/>
          <w:sz w:val="24"/>
        </w:rPr>
        <w:t>应当将其作为无效</w:t>
      </w:r>
      <w:r>
        <w:rPr>
          <w:rFonts w:ascii="仿宋" w:eastAsia="仿宋" w:hAnsi="仿宋" w:hint="eastAsia"/>
          <w:bCs/>
          <w:sz w:val="24"/>
        </w:rPr>
        <w:t>询价</w:t>
      </w:r>
      <w:r>
        <w:rPr>
          <w:rFonts w:ascii="仿宋" w:eastAsia="仿宋" w:hAnsi="仿宋"/>
          <w:bCs/>
          <w:sz w:val="24"/>
        </w:rPr>
        <w:t>处理。</w:t>
      </w:r>
    </w:p>
    <w:p w:rsidR="00426864" w:rsidRDefault="00426864">
      <w:pPr>
        <w:pStyle w:val="a0"/>
      </w:pPr>
    </w:p>
    <w:p w:rsidR="00426864" w:rsidRDefault="00426864">
      <w:pPr>
        <w:spacing w:line="400" w:lineRule="exact"/>
        <w:ind w:firstLineChars="200" w:firstLine="480"/>
        <w:rPr>
          <w:rFonts w:ascii="仿宋" w:eastAsia="仿宋" w:hAnsi="仿宋"/>
          <w:bCs/>
          <w:sz w:val="24"/>
        </w:rPr>
      </w:pPr>
    </w:p>
    <w:sectPr w:rsidR="00426864">
      <w:headerReference w:type="default" r:id="rId8"/>
      <w:footerReference w:type="even" r:id="rId9"/>
      <w:footerReference w:type="default" r:id="rId10"/>
      <w:pgSz w:w="11906" w:h="16838"/>
      <w:pgMar w:top="1134" w:right="1134" w:bottom="1134" w:left="1134" w:header="709" w:footer="709"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B56" w:rsidRDefault="003C3B56">
      <w:r>
        <w:separator/>
      </w:r>
    </w:p>
  </w:endnote>
  <w:endnote w:type="continuationSeparator" w:id="0">
    <w:p w:rsidR="003C3B56" w:rsidRDefault="003C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default"/>
    <w:sig w:usb0="A00006FF" w:usb1="4000205B" w:usb2="00000010" w:usb3="00000000" w:csb0="2000019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default"/>
    <w:sig w:usb0="00000287" w:usb1="080F0000" w:usb2="00000000" w:usb3="00000000" w:csb0="0004009F" w:csb1="DFD7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864" w:rsidRDefault="00A62A52">
    <w:pPr>
      <w:pStyle w:val="af0"/>
      <w:framePr w:wrap="around" w:vAnchor="text" w:hAnchor="margin" w:xAlign="center" w:y="1"/>
      <w:rPr>
        <w:rStyle w:val="afa"/>
      </w:rPr>
    </w:pPr>
    <w:r>
      <w:fldChar w:fldCharType="begin"/>
    </w:r>
    <w:r>
      <w:rPr>
        <w:rStyle w:val="afa"/>
      </w:rPr>
      <w:instrText xml:space="preserve">PAGE  </w:instrText>
    </w:r>
    <w:r>
      <w:fldChar w:fldCharType="separate"/>
    </w:r>
    <w:r>
      <w:rPr>
        <w:rStyle w:val="afa"/>
      </w:rPr>
      <w:t>1</w:t>
    </w:r>
    <w:r>
      <w:fldChar w:fldCharType="end"/>
    </w:r>
  </w:p>
  <w:p w:rsidR="00426864" w:rsidRDefault="00426864">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864" w:rsidRDefault="00A62A52">
    <w:pPr>
      <w:pStyle w:val="af0"/>
      <w:framePr w:wrap="around" w:vAnchor="text" w:hAnchor="margin" w:xAlign="center" w:y="1"/>
      <w:jc w:val="center"/>
      <w:rPr>
        <w:rStyle w:val="afa"/>
      </w:rPr>
    </w:pPr>
    <w:r>
      <w:fldChar w:fldCharType="begin"/>
    </w:r>
    <w:r>
      <w:rPr>
        <w:rStyle w:val="afa"/>
      </w:rPr>
      <w:instrText xml:space="preserve">PAGE  </w:instrText>
    </w:r>
    <w:r>
      <w:fldChar w:fldCharType="separate"/>
    </w:r>
    <w:r w:rsidR="009647B0">
      <w:rPr>
        <w:rStyle w:val="afa"/>
        <w:noProof/>
      </w:rPr>
      <w:t>7</w:t>
    </w:r>
    <w:r>
      <w:fldChar w:fldCharType="end"/>
    </w:r>
  </w:p>
  <w:p w:rsidR="00426864" w:rsidRDefault="00426864">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B56" w:rsidRDefault="003C3B56">
      <w:r>
        <w:separator/>
      </w:r>
    </w:p>
  </w:footnote>
  <w:footnote w:type="continuationSeparator" w:id="0">
    <w:p w:rsidR="003C3B56" w:rsidRDefault="003C3B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864" w:rsidRDefault="00A62A52">
    <w:pPr>
      <w:pStyle w:val="af2"/>
      <w:jc w:val="left"/>
      <w:rPr>
        <w:rFonts w:eastAsia="仿宋" w:hAnsi="宋体" w:cs="Courier New"/>
        <w:bCs/>
        <w:color w:val="FF0000"/>
        <w:szCs w:val="18"/>
      </w:rPr>
    </w:pPr>
    <w:r>
      <w:rPr>
        <w:rFonts w:ascii="仿宋" w:eastAsia="仿宋" w:hAnsi="仿宋" w:cs="仿宋" w:hint="eastAsia"/>
        <w:bCs/>
        <w:szCs w:val="18"/>
      </w:rPr>
      <w:t>桂林市中西医结合医院-DRG综合评价管理系统项目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3"/>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045E2704"/>
    <w:multiLevelType w:val="multilevel"/>
    <w:tmpl w:val="045E2704"/>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2A3EC38"/>
    <w:multiLevelType w:val="singleLevel"/>
    <w:tmpl w:val="52A3EC38"/>
    <w:lvl w:ilvl="0">
      <w:start w:val="3"/>
      <w:numFmt w:val="chineseCounting"/>
      <w:pStyle w:val="3"/>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MTQ2M2JmOGJiZTA0MzY5NjQwNTJlZmFiNGQ0YjcifQ=="/>
  </w:docVars>
  <w:rsids>
    <w:rsidRoot w:val="00172A27"/>
    <w:rsid w:val="000009B2"/>
    <w:rsid w:val="00000BE0"/>
    <w:rsid w:val="00002AC7"/>
    <w:rsid w:val="00003CE5"/>
    <w:rsid w:val="00004337"/>
    <w:rsid w:val="00004F42"/>
    <w:rsid w:val="00006276"/>
    <w:rsid w:val="00006EFC"/>
    <w:rsid w:val="00010479"/>
    <w:rsid w:val="00011718"/>
    <w:rsid w:val="00012AE2"/>
    <w:rsid w:val="0001455D"/>
    <w:rsid w:val="0001491F"/>
    <w:rsid w:val="00015D4C"/>
    <w:rsid w:val="000165AA"/>
    <w:rsid w:val="0001732F"/>
    <w:rsid w:val="000178B1"/>
    <w:rsid w:val="00022CB1"/>
    <w:rsid w:val="0002393D"/>
    <w:rsid w:val="0002475C"/>
    <w:rsid w:val="00025437"/>
    <w:rsid w:val="00025622"/>
    <w:rsid w:val="00025B91"/>
    <w:rsid w:val="0002752B"/>
    <w:rsid w:val="00030368"/>
    <w:rsid w:val="00031637"/>
    <w:rsid w:val="000319C3"/>
    <w:rsid w:val="000324B7"/>
    <w:rsid w:val="00032F3C"/>
    <w:rsid w:val="0003330A"/>
    <w:rsid w:val="0003523A"/>
    <w:rsid w:val="000359BA"/>
    <w:rsid w:val="00037596"/>
    <w:rsid w:val="000376F4"/>
    <w:rsid w:val="00037C1A"/>
    <w:rsid w:val="00037FD6"/>
    <w:rsid w:val="00040D93"/>
    <w:rsid w:val="00040DD3"/>
    <w:rsid w:val="00040E90"/>
    <w:rsid w:val="000419D3"/>
    <w:rsid w:val="00042D37"/>
    <w:rsid w:val="0004426F"/>
    <w:rsid w:val="00044A04"/>
    <w:rsid w:val="00044EE6"/>
    <w:rsid w:val="00045D74"/>
    <w:rsid w:val="00047350"/>
    <w:rsid w:val="000473BC"/>
    <w:rsid w:val="00050011"/>
    <w:rsid w:val="00050E1D"/>
    <w:rsid w:val="000512D5"/>
    <w:rsid w:val="00051ADD"/>
    <w:rsid w:val="00051D97"/>
    <w:rsid w:val="00052767"/>
    <w:rsid w:val="00054302"/>
    <w:rsid w:val="00055358"/>
    <w:rsid w:val="0005662B"/>
    <w:rsid w:val="000578B0"/>
    <w:rsid w:val="00060CE6"/>
    <w:rsid w:val="00062560"/>
    <w:rsid w:val="00063355"/>
    <w:rsid w:val="00063B63"/>
    <w:rsid w:val="00063FAB"/>
    <w:rsid w:val="00064176"/>
    <w:rsid w:val="00064C4E"/>
    <w:rsid w:val="00065A26"/>
    <w:rsid w:val="0006689D"/>
    <w:rsid w:val="000674A8"/>
    <w:rsid w:val="000675EF"/>
    <w:rsid w:val="000716D8"/>
    <w:rsid w:val="000722DA"/>
    <w:rsid w:val="00073131"/>
    <w:rsid w:val="0007355F"/>
    <w:rsid w:val="000737C8"/>
    <w:rsid w:val="00073FDD"/>
    <w:rsid w:val="000745A8"/>
    <w:rsid w:val="000748B0"/>
    <w:rsid w:val="00074CA7"/>
    <w:rsid w:val="00075EA8"/>
    <w:rsid w:val="0007678F"/>
    <w:rsid w:val="000770F1"/>
    <w:rsid w:val="00077A5F"/>
    <w:rsid w:val="000807D7"/>
    <w:rsid w:val="000818D7"/>
    <w:rsid w:val="00081D8B"/>
    <w:rsid w:val="00082D17"/>
    <w:rsid w:val="000838D8"/>
    <w:rsid w:val="00084DF4"/>
    <w:rsid w:val="00085F3C"/>
    <w:rsid w:val="00086193"/>
    <w:rsid w:val="00086924"/>
    <w:rsid w:val="00086940"/>
    <w:rsid w:val="00086FA5"/>
    <w:rsid w:val="000871D5"/>
    <w:rsid w:val="00090286"/>
    <w:rsid w:val="00091401"/>
    <w:rsid w:val="00091E8F"/>
    <w:rsid w:val="0009282D"/>
    <w:rsid w:val="00093132"/>
    <w:rsid w:val="000952A4"/>
    <w:rsid w:val="000956C0"/>
    <w:rsid w:val="00095DC9"/>
    <w:rsid w:val="00096261"/>
    <w:rsid w:val="000970F5"/>
    <w:rsid w:val="00097FBA"/>
    <w:rsid w:val="000A1A5A"/>
    <w:rsid w:val="000A237B"/>
    <w:rsid w:val="000A2453"/>
    <w:rsid w:val="000A41D7"/>
    <w:rsid w:val="000A44ED"/>
    <w:rsid w:val="000A51A7"/>
    <w:rsid w:val="000A52EC"/>
    <w:rsid w:val="000A588B"/>
    <w:rsid w:val="000B06AE"/>
    <w:rsid w:val="000B0866"/>
    <w:rsid w:val="000B11A9"/>
    <w:rsid w:val="000B1783"/>
    <w:rsid w:val="000B2CC4"/>
    <w:rsid w:val="000B5023"/>
    <w:rsid w:val="000B5699"/>
    <w:rsid w:val="000B64B7"/>
    <w:rsid w:val="000C01BF"/>
    <w:rsid w:val="000C1131"/>
    <w:rsid w:val="000C1E1B"/>
    <w:rsid w:val="000C1FB2"/>
    <w:rsid w:val="000C2059"/>
    <w:rsid w:val="000C24F6"/>
    <w:rsid w:val="000C2B9A"/>
    <w:rsid w:val="000C2DE8"/>
    <w:rsid w:val="000C375D"/>
    <w:rsid w:val="000C3BB1"/>
    <w:rsid w:val="000C43D7"/>
    <w:rsid w:val="000C43F3"/>
    <w:rsid w:val="000C4FEA"/>
    <w:rsid w:val="000C74AF"/>
    <w:rsid w:val="000D02C5"/>
    <w:rsid w:val="000D0AA1"/>
    <w:rsid w:val="000D1CFA"/>
    <w:rsid w:val="000D282A"/>
    <w:rsid w:val="000D3B73"/>
    <w:rsid w:val="000D3F50"/>
    <w:rsid w:val="000D51F6"/>
    <w:rsid w:val="000D591F"/>
    <w:rsid w:val="000D5C8E"/>
    <w:rsid w:val="000D64B2"/>
    <w:rsid w:val="000D672E"/>
    <w:rsid w:val="000D6872"/>
    <w:rsid w:val="000D733E"/>
    <w:rsid w:val="000D7994"/>
    <w:rsid w:val="000E00A1"/>
    <w:rsid w:val="000E045F"/>
    <w:rsid w:val="000E06F6"/>
    <w:rsid w:val="000E094E"/>
    <w:rsid w:val="000E1689"/>
    <w:rsid w:val="000E1E13"/>
    <w:rsid w:val="000E41A4"/>
    <w:rsid w:val="000E4ED3"/>
    <w:rsid w:val="000E6281"/>
    <w:rsid w:val="000E6E3E"/>
    <w:rsid w:val="000E7F98"/>
    <w:rsid w:val="000F3FB7"/>
    <w:rsid w:val="000F475D"/>
    <w:rsid w:val="000F4837"/>
    <w:rsid w:val="000F575F"/>
    <w:rsid w:val="000F5ADE"/>
    <w:rsid w:val="000F7E66"/>
    <w:rsid w:val="00102033"/>
    <w:rsid w:val="001024DB"/>
    <w:rsid w:val="00102F73"/>
    <w:rsid w:val="00103D94"/>
    <w:rsid w:val="00104214"/>
    <w:rsid w:val="00104565"/>
    <w:rsid w:val="0010481A"/>
    <w:rsid w:val="00104989"/>
    <w:rsid w:val="00105121"/>
    <w:rsid w:val="001053DF"/>
    <w:rsid w:val="001067C4"/>
    <w:rsid w:val="00107740"/>
    <w:rsid w:val="0011047C"/>
    <w:rsid w:val="0011098B"/>
    <w:rsid w:val="00110CE6"/>
    <w:rsid w:val="00111E35"/>
    <w:rsid w:val="00112775"/>
    <w:rsid w:val="00114730"/>
    <w:rsid w:val="001147BB"/>
    <w:rsid w:val="00114AC5"/>
    <w:rsid w:val="00115726"/>
    <w:rsid w:val="0011633A"/>
    <w:rsid w:val="0011661F"/>
    <w:rsid w:val="00116DBC"/>
    <w:rsid w:val="001216D7"/>
    <w:rsid w:val="00122164"/>
    <w:rsid w:val="00122345"/>
    <w:rsid w:val="0012268F"/>
    <w:rsid w:val="00122DAC"/>
    <w:rsid w:val="00123860"/>
    <w:rsid w:val="00123A7B"/>
    <w:rsid w:val="001244D6"/>
    <w:rsid w:val="00125085"/>
    <w:rsid w:val="0012558D"/>
    <w:rsid w:val="00125EF1"/>
    <w:rsid w:val="001269DD"/>
    <w:rsid w:val="00126DEA"/>
    <w:rsid w:val="00127B33"/>
    <w:rsid w:val="0013050E"/>
    <w:rsid w:val="00132474"/>
    <w:rsid w:val="00133418"/>
    <w:rsid w:val="0013606C"/>
    <w:rsid w:val="001362C1"/>
    <w:rsid w:val="0013648D"/>
    <w:rsid w:val="001377B8"/>
    <w:rsid w:val="0014078C"/>
    <w:rsid w:val="00140A72"/>
    <w:rsid w:val="00140DF8"/>
    <w:rsid w:val="001413A1"/>
    <w:rsid w:val="00142A21"/>
    <w:rsid w:val="00142B0A"/>
    <w:rsid w:val="001449B4"/>
    <w:rsid w:val="00145374"/>
    <w:rsid w:val="001463A7"/>
    <w:rsid w:val="00147540"/>
    <w:rsid w:val="001478F9"/>
    <w:rsid w:val="0015094D"/>
    <w:rsid w:val="00150FE3"/>
    <w:rsid w:val="00152555"/>
    <w:rsid w:val="0015280A"/>
    <w:rsid w:val="0015297F"/>
    <w:rsid w:val="00153963"/>
    <w:rsid w:val="00153D88"/>
    <w:rsid w:val="0015417A"/>
    <w:rsid w:val="00154277"/>
    <w:rsid w:val="00154978"/>
    <w:rsid w:val="00156023"/>
    <w:rsid w:val="00161964"/>
    <w:rsid w:val="00162551"/>
    <w:rsid w:val="00162A74"/>
    <w:rsid w:val="00163A5B"/>
    <w:rsid w:val="00163BB2"/>
    <w:rsid w:val="00163DF2"/>
    <w:rsid w:val="001665C5"/>
    <w:rsid w:val="00166FA6"/>
    <w:rsid w:val="00167104"/>
    <w:rsid w:val="0017171C"/>
    <w:rsid w:val="001724DF"/>
    <w:rsid w:val="001728EB"/>
    <w:rsid w:val="00172A27"/>
    <w:rsid w:val="00172F6C"/>
    <w:rsid w:val="001730FD"/>
    <w:rsid w:val="0017320B"/>
    <w:rsid w:val="00175DAA"/>
    <w:rsid w:val="0017702C"/>
    <w:rsid w:val="001771B5"/>
    <w:rsid w:val="00177651"/>
    <w:rsid w:val="001777A2"/>
    <w:rsid w:val="00177AE1"/>
    <w:rsid w:val="00181039"/>
    <w:rsid w:val="00182120"/>
    <w:rsid w:val="00182682"/>
    <w:rsid w:val="001826B0"/>
    <w:rsid w:val="001856D9"/>
    <w:rsid w:val="00185EBE"/>
    <w:rsid w:val="001866E1"/>
    <w:rsid w:val="00186790"/>
    <w:rsid w:val="0018722B"/>
    <w:rsid w:val="001877A2"/>
    <w:rsid w:val="00187B31"/>
    <w:rsid w:val="0019114D"/>
    <w:rsid w:val="00192A4C"/>
    <w:rsid w:val="001939F2"/>
    <w:rsid w:val="00193C50"/>
    <w:rsid w:val="00194422"/>
    <w:rsid w:val="001949D8"/>
    <w:rsid w:val="00194A8F"/>
    <w:rsid w:val="00195D0D"/>
    <w:rsid w:val="00197AD6"/>
    <w:rsid w:val="001A00ED"/>
    <w:rsid w:val="001A1D52"/>
    <w:rsid w:val="001A2242"/>
    <w:rsid w:val="001A2553"/>
    <w:rsid w:val="001A317F"/>
    <w:rsid w:val="001A3C7F"/>
    <w:rsid w:val="001A49CA"/>
    <w:rsid w:val="001A4DDA"/>
    <w:rsid w:val="001A4ED3"/>
    <w:rsid w:val="001A50C9"/>
    <w:rsid w:val="001A50FC"/>
    <w:rsid w:val="001A694A"/>
    <w:rsid w:val="001A70FC"/>
    <w:rsid w:val="001A7666"/>
    <w:rsid w:val="001A7CBD"/>
    <w:rsid w:val="001B019D"/>
    <w:rsid w:val="001B2B1C"/>
    <w:rsid w:val="001B2F45"/>
    <w:rsid w:val="001B4956"/>
    <w:rsid w:val="001B4B01"/>
    <w:rsid w:val="001B5078"/>
    <w:rsid w:val="001C1969"/>
    <w:rsid w:val="001C27EB"/>
    <w:rsid w:val="001C2C61"/>
    <w:rsid w:val="001C3434"/>
    <w:rsid w:val="001C4E19"/>
    <w:rsid w:val="001C4EC9"/>
    <w:rsid w:val="001C5506"/>
    <w:rsid w:val="001C5BD1"/>
    <w:rsid w:val="001C6C91"/>
    <w:rsid w:val="001D00F2"/>
    <w:rsid w:val="001D1319"/>
    <w:rsid w:val="001D153A"/>
    <w:rsid w:val="001D3469"/>
    <w:rsid w:val="001D56DD"/>
    <w:rsid w:val="001D62B6"/>
    <w:rsid w:val="001E008D"/>
    <w:rsid w:val="001E0C68"/>
    <w:rsid w:val="001E105A"/>
    <w:rsid w:val="001E24DD"/>
    <w:rsid w:val="001E325B"/>
    <w:rsid w:val="001E345E"/>
    <w:rsid w:val="001E35E4"/>
    <w:rsid w:val="001E37B9"/>
    <w:rsid w:val="001E62DA"/>
    <w:rsid w:val="001F23AE"/>
    <w:rsid w:val="001F2C1A"/>
    <w:rsid w:val="001F2E55"/>
    <w:rsid w:val="001F2FD7"/>
    <w:rsid w:val="001F3413"/>
    <w:rsid w:val="001F3A99"/>
    <w:rsid w:val="001F41DB"/>
    <w:rsid w:val="001F5A10"/>
    <w:rsid w:val="001F6B58"/>
    <w:rsid w:val="001F761A"/>
    <w:rsid w:val="001F7E80"/>
    <w:rsid w:val="002010A4"/>
    <w:rsid w:val="00203C02"/>
    <w:rsid w:val="00204403"/>
    <w:rsid w:val="00211C14"/>
    <w:rsid w:val="002143FD"/>
    <w:rsid w:val="00214EFF"/>
    <w:rsid w:val="002166B5"/>
    <w:rsid w:val="00216B8C"/>
    <w:rsid w:val="00217032"/>
    <w:rsid w:val="00217932"/>
    <w:rsid w:val="00220FE8"/>
    <w:rsid w:val="00221371"/>
    <w:rsid w:val="00221C24"/>
    <w:rsid w:val="00224F75"/>
    <w:rsid w:val="0022535F"/>
    <w:rsid w:val="002273CA"/>
    <w:rsid w:val="00227F10"/>
    <w:rsid w:val="00227F59"/>
    <w:rsid w:val="0023005D"/>
    <w:rsid w:val="002303E5"/>
    <w:rsid w:val="00231DEE"/>
    <w:rsid w:val="00232BD9"/>
    <w:rsid w:val="002336E4"/>
    <w:rsid w:val="0023376B"/>
    <w:rsid w:val="00234834"/>
    <w:rsid w:val="00234ABF"/>
    <w:rsid w:val="00234CD2"/>
    <w:rsid w:val="00236ECA"/>
    <w:rsid w:val="00236EEF"/>
    <w:rsid w:val="00240AF9"/>
    <w:rsid w:val="00240CCD"/>
    <w:rsid w:val="00242EED"/>
    <w:rsid w:val="002435B9"/>
    <w:rsid w:val="002436C5"/>
    <w:rsid w:val="0024585B"/>
    <w:rsid w:val="00245882"/>
    <w:rsid w:val="002473BC"/>
    <w:rsid w:val="00247D58"/>
    <w:rsid w:val="0025282D"/>
    <w:rsid w:val="00252E8A"/>
    <w:rsid w:val="002544C6"/>
    <w:rsid w:val="00256486"/>
    <w:rsid w:val="00256FF8"/>
    <w:rsid w:val="00261101"/>
    <w:rsid w:val="00262E0E"/>
    <w:rsid w:val="00263C9C"/>
    <w:rsid w:val="00267295"/>
    <w:rsid w:val="00270250"/>
    <w:rsid w:val="00270310"/>
    <w:rsid w:val="002709FA"/>
    <w:rsid w:val="00270D76"/>
    <w:rsid w:val="002713BE"/>
    <w:rsid w:val="002715A2"/>
    <w:rsid w:val="00271609"/>
    <w:rsid w:val="00272566"/>
    <w:rsid w:val="002742E2"/>
    <w:rsid w:val="00274C89"/>
    <w:rsid w:val="00274D1B"/>
    <w:rsid w:val="00274E50"/>
    <w:rsid w:val="00276295"/>
    <w:rsid w:val="002766DD"/>
    <w:rsid w:val="00282639"/>
    <w:rsid w:val="00282DE6"/>
    <w:rsid w:val="00283432"/>
    <w:rsid w:val="0028452E"/>
    <w:rsid w:val="002848A6"/>
    <w:rsid w:val="002867BC"/>
    <w:rsid w:val="00286EFD"/>
    <w:rsid w:val="002904D7"/>
    <w:rsid w:val="00290F28"/>
    <w:rsid w:val="00291F07"/>
    <w:rsid w:val="00292B9D"/>
    <w:rsid w:val="00294BC4"/>
    <w:rsid w:val="002958CD"/>
    <w:rsid w:val="00295FDE"/>
    <w:rsid w:val="0029698C"/>
    <w:rsid w:val="002974ED"/>
    <w:rsid w:val="002977C6"/>
    <w:rsid w:val="00297E9A"/>
    <w:rsid w:val="002A1179"/>
    <w:rsid w:val="002A1770"/>
    <w:rsid w:val="002A1C40"/>
    <w:rsid w:val="002A25F1"/>
    <w:rsid w:val="002A2C8F"/>
    <w:rsid w:val="002A4AB8"/>
    <w:rsid w:val="002A4CB0"/>
    <w:rsid w:val="002A70F5"/>
    <w:rsid w:val="002A73F5"/>
    <w:rsid w:val="002A7416"/>
    <w:rsid w:val="002A7C15"/>
    <w:rsid w:val="002B12C0"/>
    <w:rsid w:val="002B228D"/>
    <w:rsid w:val="002B2C50"/>
    <w:rsid w:val="002B4048"/>
    <w:rsid w:val="002B5AA4"/>
    <w:rsid w:val="002B5E21"/>
    <w:rsid w:val="002B63DC"/>
    <w:rsid w:val="002C00EC"/>
    <w:rsid w:val="002C0411"/>
    <w:rsid w:val="002C103A"/>
    <w:rsid w:val="002C1D3F"/>
    <w:rsid w:val="002C268F"/>
    <w:rsid w:val="002C34A1"/>
    <w:rsid w:val="002C393D"/>
    <w:rsid w:val="002C4845"/>
    <w:rsid w:val="002C4CA5"/>
    <w:rsid w:val="002C64B2"/>
    <w:rsid w:val="002C724D"/>
    <w:rsid w:val="002C78B2"/>
    <w:rsid w:val="002C7EF2"/>
    <w:rsid w:val="002D05E6"/>
    <w:rsid w:val="002D0985"/>
    <w:rsid w:val="002D0AAC"/>
    <w:rsid w:val="002D0C27"/>
    <w:rsid w:val="002D0E44"/>
    <w:rsid w:val="002D1186"/>
    <w:rsid w:val="002D16E7"/>
    <w:rsid w:val="002D221C"/>
    <w:rsid w:val="002D3FDA"/>
    <w:rsid w:val="002D59B3"/>
    <w:rsid w:val="002D5B85"/>
    <w:rsid w:val="002D6F94"/>
    <w:rsid w:val="002D7080"/>
    <w:rsid w:val="002E04CD"/>
    <w:rsid w:val="002E220D"/>
    <w:rsid w:val="002E2F43"/>
    <w:rsid w:val="002E47BF"/>
    <w:rsid w:val="002E684A"/>
    <w:rsid w:val="002E70A8"/>
    <w:rsid w:val="002E716E"/>
    <w:rsid w:val="002F0366"/>
    <w:rsid w:val="002F23CB"/>
    <w:rsid w:val="002F38F8"/>
    <w:rsid w:val="002F4573"/>
    <w:rsid w:val="002F5829"/>
    <w:rsid w:val="002F6069"/>
    <w:rsid w:val="002F6311"/>
    <w:rsid w:val="00301529"/>
    <w:rsid w:val="00301E50"/>
    <w:rsid w:val="0030209C"/>
    <w:rsid w:val="00302C00"/>
    <w:rsid w:val="00303774"/>
    <w:rsid w:val="003037EF"/>
    <w:rsid w:val="00303A37"/>
    <w:rsid w:val="003048F0"/>
    <w:rsid w:val="00304DDE"/>
    <w:rsid w:val="0030640A"/>
    <w:rsid w:val="00306727"/>
    <w:rsid w:val="00306EE7"/>
    <w:rsid w:val="00311298"/>
    <w:rsid w:val="00312919"/>
    <w:rsid w:val="00312F6F"/>
    <w:rsid w:val="003140CB"/>
    <w:rsid w:val="003154E7"/>
    <w:rsid w:val="00315A57"/>
    <w:rsid w:val="00316540"/>
    <w:rsid w:val="00317F33"/>
    <w:rsid w:val="00323A7F"/>
    <w:rsid w:val="0032530F"/>
    <w:rsid w:val="00325C54"/>
    <w:rsid w:val="0033092E"/>
    <w:rsid w:val="003324E6"/>
    <w:rsid w:val="00334440"/>
    <w:rsid w:val="003349A8"/>
    <w:rsid w:val="00334E71"/>
    <w:rsid w:val="00335E7D"/>
    <w:rsid w:val="003361F2"/>
    <w:rsid w:val="0033675C"/>
    <w:rsid w:val="0033743D"/>
    <w:rsid w:val="0033745B"/>
    <w:rsid w:val="003403BE"/>
    <w:rsid w:val="003408E5"/>
    <w:rsid w:val="0034117F"/>
    <w:rsid w:val="00341CDB"/>
    <w:rsid w:val="003431E2"/>
    <w:rsid w:val="00343913"/>
    <w:rsid w:val="00346C30"/>
    <w:rsid w:val="00351F16"/>
    <w:rsid w:val="00353FE4"/>
    <w:rsid w:val="00355F75"/>
    <w:rsid w:val="00356D74"/>
    <w:rsid w:val="00356E8D"/>
    <w:rsid w:val="00357718"/>
    <w:rsid w:val="00357851"/>
    <w:rsid w:val="003579EA"/>
    <w:rsid w:val="003604BD"/>
    <w:rsid w:val="00360781"/>
    <w:rsid w:val="00362010"/>
    <w:rsid w:val="0036327C"/>
    <w:rsid w:val="00363C7C"/>
    <w:rsid w:val="003647D8"/>
    <w:rsid w:val="00366C87"/>
    <w:rsid w:val="003725DF"/>
    <w:rsid w:val="003730D9"/>
    <w:rsid w:val="0037552D"/>
    <w:rsid w:val="003767EB"/>
    <w:rsid w:val="00376D4E"/>
    <w:rsid w:val="003772C1"/>
    <w:rsid w:val="00377D7E"/>
    <w:rsid w:val="0038184F"/>
    <w:rsid w:val="00381A66"/>
    <w:rsid w:val="0038226A"/>
    <w:rsid w:val="003831EA"/>
    <w:rsid w:val="00384DD1"/>
    <w:rsid w:val="00384F16"/>
    <w:rsid w:val="00385ECF"/>
    <w:rsid w:val="00386413"/>
    <w:rsid w:val="00387481"/>
    <w:rsid w:val="00387D44"/>
    <w:rsid w:val="003905AB"/>
    <w:rsid w:val="003922BB"/>
    <w:rsid w:val="00392813"/>
    <w:rsid w:val="00392AE2"/>
    <w:rsid w:val="00392CA6"/>
    <w:rsid w:val="00392E19"/>
    <w:rsid w:val="0039385E"/>
    <w:rsid w:val="00393CE3"/>
    <w:rsid w:val="003970B9"/>
    <w:rsid w:val="003A0371"/>
    <w:rsid w:val="003A11F2"/>
    <w:rsid w:val="003A11F9"/>
    <w:rsid w:val="003A1B82"/>
    <w:rsid w:val="003A27CA"/>
    <w:rsid w:val="003A602E"/>
    <w:rsid w:val="003A619B"/>
    <w:rsid w:val="003A7071"/>
    <w:rsid w:val="003A76AA"/>
    <w:rsid w:val="003B1477"/>
    <w:rsid w:val="003B22E8"/>
    <w:rsid w:val="003B264A"/>
    <w:rsid w:val="003B3A85"/>
    <w:rsid w:val="003B53C9"/>
    <w:rsid w:val="003B5BA6"/>
    <w:rsid w:val="003C186B"/>
    <w:rsid w:val="003C337A"/>
    <w:rsid w:val="003C357C"/>
    <w:rsid w:val="003C3B56"/>
    <w:rsid w:val="003C3CFC"/>
    <w:rsid w:val="003C426B"/>
    <w:rsid w:val="003C5AD6"/>
    <w:rsid w:val="003C5DA9"/>
    <w:rsid w:val="003D0B37"/>
    <w:rsid w:val="003D1C60"/>
    <w:rsid w:val="003D2561"/>
    <w:rsid w:val="003D29EE"/>
    <w:rsid w:val="003D323B"/>
    <w:rsid w:val="003D33F9"/>
    <w:rsid w:val="003D415A"/>
    <w:rsid w:val="003D46B1"/>
    <w:rsid w:val="003D4706"/>
    <w:rsid w:val="003D499F"/>
    <w:rsid w:val="003D5A3C"/>
    <w:rsid w:val="003D5EC8"/>
    <w:rsid w:val="003D67D1"/>
    <w:rsid w:val="003D6825"/>
    <w:rsid w:val="003D7709"/>
    <w:rsid w:val="003E2B98"/>
    <w:rsid w:val="003E5091"/>
    <w:rsid w:val="003E6892"/>
    <w:rsid w:val="003E72AA"/>
    <w:rsid w:val="003F03AD"/>
    <w:rsid w:val="003F1530"/>
    <w:rsid w:val="003F176F"/>
    <w:rsid w:val="003F25F1"/>
    <w:rsid w:val="003F26D8"/>
    <w:rsid w:val="003F2BA5"/>
    <w:rsid w:val="003F2F20"/>
    <w:rsid w:val="003F3360"/>
    <w:rsid w:val="003F3B24"/>
    <w:rsid w:val="003F4186"/>
    <w:rsid w:val="003F4EA6"/>
    <w:rsid w:val="003F6127"/>
    <w:rsid w:val="003F64AB"/>
    <w:rsid w:val="003F6A27"/>
    <w:rsid w:val="003F6C34"/>
    <w:rsid w:val="004014E4"/>
    <w:rsid w:val="004042CE"/>
    <w:rsid w:val="00404D8A"/>
    <w:rsid w:val="0040512E"/>
    <w:rsid w:val="00405479"/>
    <w:rsid w:val="0040601C"/>
    <w:rsid w:val="00406D86"/>
    <w:rsid w:val="00412273"/>
    <w:rsid w:val="004140C0"/>
    <w:rsid w:val="00414C0F"/>
    <w:rsid w:val="00414F12"/>
    <w:rsid w:val="0041686C"/>
    <w:rsid w:val="00416976"/>
    <w:rsid w:val="00421D78"/>
    <w:rsid w:val="004230AE"/>
    <w:rsid w:val="00423102"/>
    <w:rsid w:val="00423247"/>
    <w:rsid w:val="004235F8"/>
    <w:rsid w:val="0042519B"/>
    <w:rsid w:val="004252F9"/>
    <w:rsid w:val="0042546E"/>
    <w:rsid w:val="00425883"/>
    <w:rsid w:val="0042592A"/>
    <w:rsid w:val="00425E0B"/>
    <w:rsid w:val="00426558"/>
    <w:rsid w:val="00426864"/>
    <w:rsid w:val="00427113"/>
    <w:rsid w:val="00427740"/>
    <w:rsid w:val="00431018"/>
    <w:rsid w:val="00431E95"/>
    <w:rsid w:val="004320CB"/>
    <w:rsid w:val="004322AA"/>
    <w:rsid w:val="004328EB"/>
    <w:rsid w:val="00434105"/>
    <w:rsid w:val="00434460"/>
    <w:rsid w:val="00436937"/>
    <w:rsid w:val="00441535"/>
    <w:rsid w:val="00441F67"/>
    <w:rsid w:val="004420AC"/>
    <w:rsid w:val="00442DE1"/>
    <w:rsid w:val="00443E71"/>
    <w:rsid w:val="00443F63"/>
    <w:rsid w:val="0044507A"/>
    <w:rsid w:val="004458C6"/>
    <w:rsid w:val="0044799F"/>
    <w:rsid w:val="004520C4"/>
    <w:rsid w:val="004538B0"/>
    <w:rsid w:val="00454367"/>
    <w:rsid w:val="00454575"/>
    <w:rsid w:val="00455282"/>
    <w:rsid w:val="00455534"/>
    <w:rsid w:val="00456813"/>
    <w:rsid w:val="0045693B"/>
    <w:rsid w:val="00456C98"/>
    <w:rsid w:val="004603C5"/>
    <w:rsid w:val="004611E9"/>
    <w:rsid w:val="00461AC5"/>
    <w:rsid w:val="00462394"/>
    <w:rsid w:val="00462AA4"/>
    <w:rsid w:val="00463024"/>
    <w:rsid w:val="0046450D"/>
    <w:rsid w:val="00464584"/>
    <w:rsid w:val="0046498E"/>
    <w:rsid w:val="00465787"/>
    <w:rsid w:val="00465912"/>
    <w:rsid w:val="00467CE3"/>
    <w:rsid w:val="00470B8B"/>
    <w:rsid w:val="00470C3C"/>
    <w:rsid w:val="00472714"/>
    <w:rsid w:val="00473804"/>
    <w:rsid w:val="00473F39"/>
    <w:rsid w:val="00475198"/>
    <w:rsid w:val="00475DF9"/>
    <w:rsid w:val="00477118"/>
    <w:rsid w:val="00480315"/>
    <w:rsid w:val="00480DCF"/>
    <w:rsid w:val="00482570"/>
    <w:rsid w:val="00482DF7"/>
    <w:rsid w:val="00484EF4"/>
    <w:rsid w:val="00484F7E"/>
    <w:rsid w:val="004865CE"/>
    <w:rsid w:val="0049126E"/>
    <w:rsid w:val="00491BEF"/>
    <w:rsid w:val="00494E63"/>
    <w:rsid w:val="00495135"/>
    <w:rsid w:val="00495552"/>
    <w:rsid w:val="00495913"/>
    <w:rsid w:val="00495B4B"/>
    <w:rsid w:val="0049642C"/>
    <w:rsid w:val="00496F61"/>
    <w:rsid w:val="00497116"/>
    <w:rsid w:val="0049747D"/>
    <w:rsid w:val="004A05FA"/>
    <w:rsid w:val="004A0C33"/>
    <w:rsid w:val="004A0FC8"/>
    <w:rsid w:val="004A2E24"/>
    <w:rsid w:val="004A506F"/>
    <w:rsid w:val="004A61E4"/>
    <w:rsid w:val="004B0652"/>
    <w:rsid w:val="004B088A"/>
    <w:rsid w:val="004B1348"/>
    <w:rsid w:val="004B2F45"/>
    <w:rsid w:val="004B3499"/>
    <w:rsid w:val="004B3704"/>
    <w:rsid w:val="004B426B"/>
    <w:rsid w:val="004B49C5"/>
    <w:rsid w:val="004B4D85"/>
    <w:rsid w:val="004B5117"/>
    <w:rsid w:val="004B546D"/>
    <w:rsid w:val="004B6DBA"/>
    <w:rsid w:val="004B6F27"/>
    <w:rsid w:val="004C042A"/>
    <w:rsid w:val="004C04CB"/>
    <w:rsid w:val="004C073D"/>
    <w:rsid w:val="004C19BC"/>
    <w:rsid w:val="004C1D44"/>
    <w:rsid w:val="004C3B65"/>
    <w:rsid w:val="004C3D9B"/>
    <w:rsid w:val="004C4580"/>
    <w:rsid w:val="004C4E16"/>
    <w:rsid w:val="004C5172"/>
    <w:rsid w:val="004C60E5"/>
    <w:rsid w:val="004C6488"/>
    <w:rsid w:val="004C650B"/>
    <w:rsid w:val="004C79DD"/>
    <w:rsid w:val="004C7F8D"/>
    <w:rsid w:val="004D0D59"/>
    <w:rsid w:val="004D26A5"/>
    <w:rsid w:val="004D3906"/>
    <w:rsid w:val="004D43BA"/>
    <w:rsid w:val="004E09A9"/>
    <w:rsid w:val="004E0B36"/>
    <w:rsid w:val="004E0B5C"/>
    <w:rsid w:val="004E2150"/>
    <w:rsid w:val="004E2FFC"/>
    <w:rsid w:val="004E4AF9"/>
    <w:rsid w:val="004E53CB"/>
    <w:rsid w:val="004E63DC"/>
    <w:rsid w:val="004E691A"/>
    <w:rsid w:val="004E6DD9"/>
    <w:rsid w:val="004F0778"/>
    <w:rsid w:val="004F30CF"/>
    <w:rsid w:val="004F3CD5"/>
    <w:rsid w:val="004F4C28"/>
    <w:rsid w:val="004F4F8B"/>
    <w:rsid w:val="004F5415"/>
    <w:rsid w:val="004F6871"/>
    <w:rsid w:val="004F7333"/>
    <w:rsid w:val="004F777F"/>
    <w:rsid w:val="004F7C0A"/>
    <w:rsid w:val="00500A80"/>
    <w:rsid w:val="00500EA3"/>
    <w:rsid w:val="00500F56"/>
    <w:rsid w:val="00501C21"/>
    <w:rsid w:val="00502A71"/>
    <w:rsid w:val="00502EFE"/>
    <w:rsid w:val="00503E21"/>
    <w:rsid w:val="00504DC3"/>
    <w:rsid w:val="00504E43"/>
    <w:rsid w:val="00506CBE"/>
    <w:rsid w:val="00506DB0"/>
    <w:rsid w:val="00511CBB"/>
    <w:rsid w:val="00511D0B"/>
    <w:rsid w:val="00512242"/>
    <w:rsid w:val="00513A3B"/>
    <w:rsid w:val="0051770C"/>
    <w:rsid w:val="00517AF0"/>
    <w:rsid w:val="00517F01"/>
    <w:rsid w:val="00522746"/>
    <w:rsid w:val="00523676"/>
    <w:rsid w:val="00523F17"/>
    <w:rsid w:val="00524A55"/>
    <w:rsid w:val="005252B5"/>
    <w:rsid w:val="00525E51"/>
    <w:rsid w:val="005260E6"/>
    <w:rsid w:val="00527E21"/>
    <w:rsid w:val="005305DC"/>
    <w:rsid w:val="005319BC"/>
    <w:rsid w:val="00531A7F"/>
    <w:rsid w:val="00532351"/>
    <w:rsid w:val="00533090"/>
    <w:rsid w:val="005336F1"/>
    <w:rsid w:val="00533B88"/>
    <w:rsid w:val="0053482F"/>
    <w:rsid w:val="00536BC7"/>
    <w:rsid w:val="00537DC5"/>
    <w:rsid w:val="00541613"/>
    <w:rsid w:val="00542604"/>
    <w:rsid w:val="005432B8"/>
    <w:rsid w:val="00544834"/>
    <w:rsid w:val="00544DB0"/>
    <w:rsid w:val="005451F7"/>
    <w:rsid w:val="00546941"/>
    <w:rsid w:val="00547225"/>
    <w:rsid w:val="00550030"/>
    <w:rsid w:val="00552209"/>
    <w:rsid w:val="00553AF9"/>
    <w:rsid w:val="00554574"/>
    <w:rsid w:val="00554F21"/>
    <w:rsid w:val="00555908"/>
    <w:rsid w:val="00556DD5"/>
    <w:rsid w:val="0055783D"/>
    <w:rsid w:val="00557D80"/>
    <w:rsid w:val="00557DC2"/>
    <w:rsid w:val="00557F58"/>
    <w:rsid w:val="00557FB8"/>
    <w:rsid w:val="00561D03"/>
    <w:rsid w:val="005621E7"/>
    <w:rsid w:val="005625C6"/>
    <w:rsid w:val="00562F27"/>
    <w:rsid w:val="00564E89"/>
    <w:rsid w:val="00566AAD"/>
    <w:rsid w:val="005673BA"/>
    <w:rsid w:val="0056773F"/>
    <w:rsid w:val="0056787B"/>
    <w:rsid w:val="00570369"/>
    <w:rsid w:val="00570E9E"/>
    <w:rsid w:val="00571656"/>
    <w:rsid w:val="0057298D"/>
    <w:rsid w:val="00572DAF"/>
    <w:rsid w:val="00572EBF"/>
    <w:rsid w:val="00572FC5"/>
    <w:rsid w:val="0057324C"/>
    <w:rsid w:val="005739D8"/>
    <w:rsid w:val="00574009"/>
    <w:rsid w:val="00574700"/>
    <w:rsid w:val="0057538C"/>
    <w:rsid w:val="00576B96"/>
    <w:rsid w:val="005801D2"/>
    <w:rsid w:val="00580F51"/>
    <w:rsid w:val="005812E6"/>
    <w:rsid w:val="005814B1"/>
    <w:rsid w:val="005829B8"/>
    <w:rsid w:val="0058410A"/>
    <w:rsid w:val="005842DD"/>
    <w:rsid w:val="00585B36"/>
    <w:rsid w:val="005862A6"/>
    <w:rsid w:val="00590014"/>
    <w:rsid w:val="005904C4"/>
    <w:rsid w:val="0059097C"/>
    <w:rsid w:val="00590BD3"/>
    <w:rsid w:val="00591118"/>
    <w:rsid w:val="005914C9"/>
    <w:rsid w:val="005937A6"/>
    <w:rsid w:val="00593D08"/>
    <w:rsid w:val="0059403E"/>
    <w:rsid w:val="005960F3"/>
    <w:rsid w:val="00596C68"/>
    <w:rsid w:val="0059723A"/>
    <w:rsid w:val="00597B1E"/>
    <w:rsid w:val="005A0002"/>
    <w:rsid w:val="005A02F7"/>
    <w:rsid w:val="005A0E1F"/>
    <w:rsid w:val="005A24F3"/>
    <w:rsid w:val="005A3053"/>
    <w:rsid w:val="005A32BC"/>
    <w:rsid w:val="005A3572"/>
    <w:rsid w:val="005A3795"/>
    <w:rsid w:val="005A4C96"/>
    <w:rsid w:val="005A5317"/>
    <w:rsid w:val="005A557E"/>
    <w:rsid w:val="005A58B3"/>
    <w:rsid w:val="005A6F62"/>
    <w:rsid w:val="005A7219"/>
    <w:rsid w:val="005A7C69"/>
    <w:rsid w:val="005B0844"/>
    <w:rsid w:val="005B0AEF"/>
    <w:rsid w:val="005B13CF"/>
    <w:rsid w:val="005B1B92"/>
    <w:rsid w:val="005B2D8B"/>
    <w:rsid w:val="005B2FAF"/>
    <w:rsid w:val="005B337C"/>
    <w:rsid w:val="005B3384"/>
    <w:rsid w:val="005B3AD7"/>
    <w:rsid w:val="005B48D9"/>
    <w:rsid w:val="005B4D80"/>
    <w:rsid w:val="005B6EB7"/>
    <w:rsid w:val="005C0B7F"/>
    <w:rsid w:val="005C0BFD"/>
    <w:rsid w:val="005C1384"/>
    <w:rsid w:val="005C1B1A"/>
    <w:rsid w:val="005C2125"/>
    <w:rsid w:val="005C2CDE"/>
    <w:rsid w:val="005C30CC"/>
    <w:rsid w:val="005C342B"/>
    <w:rsid w:val="005C3EDA"/>
    <w:rsid w:val="005C43F9"/>
    <w:rsid w:val="005C4D39"/>
    <w:rsid w:val="005C5758"/>
    <w:rsid w:val="005C5FCF"/>
    <w:rsid w:val="005C647E"/>
    <w:rsid w:val="005C6B6E"/>
    <w:rsid w:val="005D0568"/>
    <w:rsid w:val="005D07C7"/>
    <w:rsid w:val="005D19F3"/>
    <w:rsid w:val="005D20EE"/>
    <w:rsid w:val="005D230C"/>
    <w:rsid w:val="005D24B1"/>
    <w:rsid w:val="005D2C34"/>
    <w:rsid w:val="005D3531"/>
    <w:rsid w:val="005D47B1"/>
    <w:rsid w:val="005D4AFA"/>
    <w:rsid w:val="005D53BA"/>
    <w:rsid w:val="005D56F5"/>
    <w:rsid w:val="005D71C9"/>
    <w:rsid w:val="005E0387"/>
    <w:rsid w:val="005E067C"/>
    <w:rsid w:val="005E0979"/>
    <w:rsid w:val="005E12F4"/>
    <w:rsid w:val="005E1FE9"/>
    <w:rsid w:val="005E28B3"/>
    <w:rsid w:val="005E28DD"/>
    <w:rsid w:val="005E3F08"/>
    <w:rsid w:val="005E3F7D"/>
    <w:rsid w:val="005E487F"/>
    <w:rsid w:val="005E5921"/>
    <w:rsid w:val="005F1067"/>
    <w:rsid w:val="005F2353"/>
    <w:rsid w:val="005F2E90"/>
    <w:rsid w:val="005F35EB"/>
    <w:rsid w:val="005F3885"/>
    <w:rsid w:val="005F42F0"/>
    <w:rsid w:val="005F5F45"/>
    <w:rsid w:val="005F64B8"/>
    <w:rsid w:val="005F69C1"/>
    <w:rsid w:val="005F6F86"/>
    <w:rsid w:val="005F7F76"/>
    <w:rsid w:val="005F7FEB"/>
    <w:rsid w:val="00601887"/>
    <w:rsid w:val="00602C99"/>
    <w:rsid w:val="00602FD1"/>
    <w:rsid w:val="0060303C"/>
    <w:rsid w:val="0060505D"/>
    <w:rsid w:val="00605E5A"/>
    <w:rsid w:val="00605F13"/>
    <w:rsid w:val="00606132"/>
    <w:rsid w:val="00606D53"/>
    <w:rsid w:val="00607006"/>
    <w:rsid w:val="006075D6"/>
    <w:rsid w:val="0061091E"/>
    <w:rsid w:val="00611415"/>
    <w:rsid w:val="006120B8"/>
    <w:rsid w:val="006122D7"/>
    <w:rsid w:val="0061402E"/>
    <w:rsid w:val="0061482E"/>
    <w:rsid w:val="00614F26"/>
    <w:rsid w:val="006156B7"/>
    <w:rsid w:val="00616754"/>
    <w:rsid w:val="00616A10"/>
    <w:rsid w:val="00616E19"/>
    <w:rsid w:val="00616EC7"/>
    <w:rsid w:val="00616FD7"/>
    <w:rsid w:val="00620F4A"/>
    <w:rsid w:val="00622520"/>
    <w:rsid w:val="00622FD5"/>
    <w:rsid w:val="00623D97"/>
    <w:rsid w:val="00624041"/>
    <w:rsid w:val="00624479"/>
    <w:rsid w:val="006256DE"/>
    <w:rsid w:val="00625DF4"/>
    <w:rsid w:val="00626560"/>
    <w:rsid w:val="00627589"/>
    <w:rsid w:val="00631E86"/>
    <w:rsid w:val="00632D39"/>
    <w:rsid w:val="00633049"/>
    <w:rsid w:val="0063497C"/>
    <w:rsid w:val="006359C3"/>
    <w:rsid w:val="00635F71"/>
    <w:rsid w:val="0063738D"/>
    <w:rsid w:val="00637C67"/>
    <w:rsid w:val="00641D29"/>
    <w:rsid w:val="0064289F"/>
    <w:rsid w:val="00643085"/>
    <w:rsid w:val="006440B2"/>
    <w:rsid w:val="00644E80"/>
    <w:rsid w:val="00644ED9"/>
    <w:rsid w:val="0064525F"/>
    <w:rsid w:val="006458F8"/>
    <w:rsid w:val="006470C7"/>
    <w:rsid w:val="00651CF8"/>
    <w:rsid w:val="0065282C"/>
    <w:rsid w:val="00653CA7"/>
    <w:rsid w:val="0065502A"/>
    <w:rsid w:val="00656674"/>
    <w:rsid w:val="00660706"/>
    <w:rsid w:val="00665381"/>
    <w:rsid w:val="006663D3"/>
    <w:rsid w:val="00666E7B"/>
    <w:rsid w:val="0066711B"/>
    <w:rsid w:val="0066766A"/>
    <w:rsid w:val="006709DB"/>
    <w:rsid w:val="0067162C"/>
    <w:rsid w:val="00671865"/>
    <w:rsid w:val="00671889"/>
    <w:rsid w:val="006727AB"/>
    <w:rsid w:val="00673076"/>
    <w:rsid w:val="00674408"/>
    <w:rsid w:val="00674C20"/>
    <w:rsid w:val="00674C7E"/>
    <w:rsid w:val="00674EE7"/>
    <w:rsid w:val="00674F73"/>
    <w:rsid w:val="00675CBA"/>
    <w:rsid w:val="006800C0"/>
    <w:rsid w:val="006837D9"/>
    <w:rsid w:val="00683B3D"/>
    <w:rsid w:val="00690B17"/>
    <w:rsid w:val="006920EA"/>
    <w:rsid w:val="00694AF9"/>
    <w:rsid w:val="00696BD2"/>
    <w:rsid w:val="00697558"/>
    <w:rsid w:val="006A0C47"/>
    <w:rsid w:val="006A27C7"/>
    <w:rsid w:val="006A2E09"/>
    <w:rsid w:val="006A338B"/>
    <w:rsid w:val="006A46A6"/>
    <w:rsid w:val="006A6AF8"/>
    <w:rsid w:val="006A71B7"/>
    <w:rsid w:val="006B3391"/>
    <w:rsid w:val="006B348F"/>
    <w:rsid w:val="006B3A72"/>
    <w:rsid w:val="006B450F"/>
    <w:rsid w:val="006B5C7D"/>
    <w:rsid w:val="006B5D42"/>
    <w:rsid w:val="006B7152"/>
    <w:rsid w:val="006B7D1A"/>
    <w:rsid w:val="006C056C"/>
    <w:rsid w:val="006C07BD"/>
    <w:rsid w:val="006C2180"/>
    <w:rsid w:val="006C2E1D"/>
    <w:rsid w:val="006C3E46"/>
    <w:rsid w:val="006C626B"/>
    <w:rsid w:val="006C6485"/>
    <w:rsid w:val="006D0628"/>
    <w:rsid w:val="006D19F4"/>
    <w:rsid w:val="006D2015"/>
    <w:rsid w:val="006D3C9E"/>
    <w:rsid w:val="006D4175"/>
    <w:rsid w:val="006D4BD7"/>
    <w:rsid w:val="006D52FD"/>
    <w:rsid w:val="006D561A"/>
    <w:rsid w:val="006D5B9F"/>
    <w:rsid w:val="006D60E5"/>
    <w:rsid w:val="006D6690"/>
    <w:rsid w:val="006D67BA"/>
    <w:rsid w:val="006D729D"/>
    <w:rsid w:val="006E13B9"/>
    <w:rsid w:val="006E289E"/>
    <w:rsid w:val="006E2D02"/>
    <w:rsid w:val="006E2D42"/>
    <w:rsid w:val="006E32DF"/>
    <w:rsid w:val="006E352F"/>
    <w:rsid w:val="006E4696"/>
    <w:rsid w:val="006E5FBB"/>
    <w:rsid w:val="006E64BF"/>
    <w:rsid w:val="006E6C0E"/>
    <w:rsid w:val="006F21FB"/>
    <w:rsid w:val="006F2E6E"/>
    <w:rsid w:val="006F38C4"/>
    <w:rsid w:val="006F38DD"/>
    <w:rsid w:val="006F5691"/>
    <w:rsid w:val="006F6A34"/>
    <w:rsid w:val="007017F6"/>
    <w:rsid w:val="00702250"/>
    <w:rsid w:val="0070235F"/>
    <w:rsid w:val="00702C0D"/>
    <w:rsid w:val="00703117"/>
    <w:rsid w:val="00703138"/>
    <w:rsid w:val="007038A2"/>
    <w:rsid w:val="007067A6"/>
    <w:rsid w:val="007079F2"/>
    <w:rsid w:val="00707DB4"/>
    <w:rsid w:val="00710972"/>
    <w:rsid w:val="007109B4"/>
    <w:rsid w:val="00711D3E"/>
    <w:rsid w:val="00711DF2"/>
    <w:rsid w:val="007146ED"/>
    <w:rsid w:val="00714EA8"/>
    <w:rsid w:val="00717540"/>
    <w:rsid w:val="007211AE"/>
    <w:rsid w:val="007216D1"/>
    <w:rsid w:val="00721B00"/>
    <w:rsid w:val="0072276D"/>
    <w:rsid w:val="00722FE0"/>
    <w:rsid w:val="00723AC4"/>
    <w:rsid w:val="007247FB"/>
    <w:rsid w:val="00724A59"/>
    <w:rsid w:val="0072549D"/>
    <w:rsid w:val="00725CF3"/>
    <w:rsid w:val="00727C9E"/>
    <w:rsid w:val="00732A9A"/>
    <w:rsid w:val="00732AD0"/>
    <w:rsid w:val="00732E51"/>
    <w:rsid w:val="00734653"/>
    <w:rsid w:val="007346A9"/>
    <w:rsid w:val="007346D8"/>
    <w:rsid w:val="00736211"/>
    <w:rsid w:val="00740757"/>
    <w:rsid w:val="00742517"/>
    <w:rsid w:val="007428EB"/>
    <w:rsid w:val="007439DF"/>
    <w:rsid w:val="00743AE8"/>
    <w:rsid w:val="00743CCB"/>
    <w:rsid w:val="00745E82"/>
    <w:rsid w:val="0074668C"/>
    <w:rsid w:val="00746726"/>
    <w:rsid w:val="00746949"/>
    <w:rsid w:val="00746B2A"/>
    <w:rsid w:val="00750DD2"/>
    <w:rsid w:val="007519BF"/>
    <w:rsid w:val="0075229B"/>
    <w:rsid w:val="007526B8"/>
    <w:rsid w:val="00752C09"/>
    <w:rsid w:val="00753230"/>
    <w:rsid w:val="00753D4E"/>
    <w:rsid w:val="00754002"/>
    <w:rsid w:val="00754724"/>
    <w:rsid w:val="00754866"/>
    <w:rsid w:val="00756DCD"/>
    <w:rsid w:val="00757361"/>
    <w:rsid w:val="007613C8"/>
    <w:rsid w:val="00762D5A"/>
    <w:rsid w:val="00763060"/>
    <w:rsid w:val="00763A11"/>
    <w:rsid w:val="007655E4"/>
    <w:rsid w:val="007656BF"/>
    <w:rsid w:val="0076589D"/>
    <w:rsid w:val="00765CAA"/>
    <w:rsid w:val="007661F9"/>
    <w:rsid w:val="00766F71"/>
    <w:rsid w:val="007712E8"/>
    <w:rsid w:val="007719FC"/>
    <w:rsid w:val="00771D1A"/>
    <w:rsid w:val="0077387B"/>
    <w:rsid w:val="00774970"/>
    <w:rsid w:val="00774E62"/>
    <w:rsid w:val="00774FE6"/>
    <w:rsid w:val="0078013E"/>
    <w:rsid w:val="007803E0"/>
    <w:rsid w:val="0078069D"/>
    <w:rsid w:val="00780C38"/>
    <w:rsid w:val="007815E8"/>
    <w:rsid w:val="00781A5D"/>
    <w:rsid w:val="00782756"/>
    <w:rsid w:val="00782E70"/>
    <w:rsid w:val="00783264"/>
    <w:rsid w:val="007833CB"/>
    <w:rsid w:val="0078494E"/>
    <w:rsid w:val="007852A0"/>
    <w:rsid w:val="0078540A"/>
    <w:rsid w:val="00787C88"/>
    <w:rsid w:val="007902EE"/>
    <w:rsid w:val="0079073A"/>
    <w:rsid w:val="00790B7C"/>
    <w:rsid w:val="00791D78"/>
    <w:rsid w:val="00792B3B"/>
    <w:rsid w:val="00792EDF"/>
    <w:rsid w:val="00796CAF"/>
    <w:rsid w:val="00796CE5"/>
    <w:rsid w:val="007A160D"/>
    <w:rsid w:val="007A297B"/>
    <w:rsid w:val="007A3407"/>
    <w:rsid w:val="007A360E"/>
    <w:rsid w:val="007A3827"/>
    <w:rsid w:val="007A3C28"/>
    <w:rsid w:val="007A3CBF"/>
    <w:rsid w:val="007A3CCA"/>
    <w:rsid w:val="007A3EDA"/>
    <w:rsid w:val="007A413A"/>
    <w:rsid w:val="007A5939"/>
    <w:rsid w:val="007A6E39"/>
    <w:rsid w:val="007A7F4A"/>
    <w:rsid w:val="007B062B"/>
    <w:rsid w:val="007B1804"/>
    <w:rsid w:val="007B1DE8"/>
    <w:rsid w:val="007B1EBE"/>
    <w:rsid w:val="007B2426"/>
    <w:rsid w:val="007B3CED"/>
    <w:rsid w:val="007B45D7"/>
    <w:rsid w:val="007B49F2"/>
    <w:rsid w:val="007B4E40"/>
    <w:rsid w:val="007B5AD4"/>
    <w:rsid w:val="007B5C33"/>
    <w:rsid w:val="007B5F33"/>
    <w:rsid w:val="007B7223"/>
    <w:rsid w:val="007C0007"/>
    <w:rsid w:val="007C06F5"/>
    <w:rsid w:val="007C103B"/>
    <w:rsid w:val="007C2CBF"/>
    <w:rsid w:val="007C30F3"/>
    <w:rsid w:val="007C4089"/>
    <w:rsid w:val="007C489F"/>
    <w:rsid w:val="007C496A"/>
    <w:rsid w:val="007C5668"/>
    <w:rsid w:val="007C673B"/>
    <w:rsid w:val="007D11EF"/>
    <w:rsid w:val="007D29CF"/>
    <w:rsid w:val="007D3147"/>
    <w:rsid w:val="007D356E"/>
    <w:rsid w:val="007D571D"/>
    <w:rsid w:val="007D5B62"/>
    <w:rsid w:val="007D5F17"/>
    <w:rsid w:val="007D71D6"/>
    <w:rsid w:val="007D7455"/>
    <w:rsid w:val="007D7AAF"/>
    <w:rsid w:val="007E056B"/>
    <w:rsid w:val="007E105E"/>
    <w:rsid w:val="007E113E"/>
    <w:rsid w:val="007E3D21"/>
    <w:rsid w:val="007E3DEF"/>
    <w:rsid w:val="007E7213"/>
    <w:rsid w:val="007E77B5"/>
    <w:rsid w:val="007E7C1C"/>
    <w:rsid w:val="007F0F97"/>
    <w:rsid w:val="007F29A5"/>
    <w:rsid w:val="007F3D3F"/>
    <w:rsid w:val="007F3E1F"/>
    <w:rsid w:val="007F3EB4"/>
    <w:rsid w:val="007F43E3"/>
    <w:rsid w:val="007F47FF"/>
    <w:rsid w:val="007F56EE"/>
    <w:rsid w:val="007F6E43"/>
    <w:rsid w:val="007F7E0F"/>
    <w:rsid w:val="0080209C"/>
    <w:rsid w:val="00802361"/>
    <w:rsid w:val="00802E3B"/>
    <w:rsid w:val="00803298"/>
    <w:rsid w:val="00803323"/>
    <w:rsid w:val="0080382F"/>
    <w:rsid w:val="0080550F"/>
    <w:rsid w:val="008078A7"/>
    <w:rsid w:val="0081258D"/>
    <w:rsid w:val="00813B52"/>
    <w:rsid w:val="0081414F"/>
    <w:rsid w:val="00814DE5"/>
    <w:rsid w:val="00815050"/>
    <w:rsid w:val="00815807"/>
    <w:rsid w:val="008158D1"/>
    <w:rsid w:val="00817207"/>
    <w:rsid w:val="0081781E"/>
    <w:rsid w:val="00817C15"/>
    <w:rsid w:val="00817F57"/>
    <w:rsid w:val="008200C5"/>
    <w:rsid w:val="00820BAC"/>
    <w:rsid w:val="00822D1E"/>
    <w:rsid w:val="00822D68"/>
    <w:rsid w:val="0082514E"/>
    <w:rsid w:val="00826488"/>
    <w:rsid w:val="00827AC6"/>
    <w:rsid w:val="00827E2C"/>
    <w:rsid w:val="00831247"/>
    <w:rsid w:val="008329CF"/>
    <w:rsid w:val="008337DA"/>
    <w:rsid w:val="00833AF8"/>
    <w:rsid w:val="00833E83"/>
    <w:rsid w:val="00834F0C"/>
    <w:rsid w:val="00836563"/>
    <w:rsid w:val="00836EF3"/>
    <w:rsid w:val="00837F4B"/>
    <w:rsid w:val="00841881"/>
    <w:rsid w:val="0084371E"/>
    <w:rsid w:val="00845659"/>
    <w:rsid w:val="00845A5A"/>
    <w:rsid w:val="008467B0"/>
    <w:rsid w:val="00846E5F"/>
    <w:rsid w:val="0084756C"/>
    <w:rsid w:val="008500E1"/>
    <w:rsid w:val="00851914"/>
    <w:rsid w:val="0085213F"/>
    <w:rsid w:val="008532CE"/>
    <w:rsid w:val="00853A19"/>
    <w:rsid w:val="00855487"/>
    <w:rsid w:val="00856457"/>
    <w:rsid w:val="008564D3"/>
    <w:rsid w:val="00857F3C"/>
    <w:rsid w:val="0086078A"/>
    <w:rsid w:val="00860BF7"/>
    <w:rsid w:val="00861CDB"/>
    <w:rsid w:val="008622F5"/>
    <w:rsid w:val="008628C6"/>
    <w:rsid w:val="00863A41"/>
    <w:rsid w:val="00864907"/>
    <w:rsid w:val="00865D51"/>
    <w:rsid w:val="008662FE"/>
    <w:rsid w:val="008670E4"/>
    <w:rsid w:val="00867137"/>
    <w:rsid w:val="00867849"/>
    <w:rsid w:val="008717D6"/>
    <w:rsid w:val="00871D6E"/>
    <w:rsid w:val="008721CB"/>
    <w:rsid w:val="0087343B"/>
    <w:rsid w:val="00873D38"/>
    <w:rsid w:val="00873E5D"/>
    <w:rsid w:val="0087620C"/>
    <w:rsid w:val="0088135B"/>
    <w:rsid w:val="00882F86"/>
    <w:rsid w:val="00883B29"/>
    <w:rsid w:val="00883B4D"/>
    <w:rsid w:val="00883B63"/>
    <w:rsid w:val="008849A6"/>
    <w:rsid w:val="00885314"/>
    <w:rsid w:val="008873F3"/>
    <w:rsid w:val="00887F36"/>
    <w:rsid w:val="00890C78"/>
    <w:rsid w:val="008912A6"/>
    <w:rsid w:val="00891BF2"/>
    <w:rsid w:val="0089321E"/>
    <w:rsid w:val="008936C9"/>
    <w:rsid w:val="00893F0E"/>
    <w:rsid w:val="0089489B"/>
    <w:rsid w:val="0089621D"/>
    <w:rsid w:val="00896ED1"/>
    <w:rsid w:val="00897253"/>
    <w:rsid w:val="008973EA"/>
    <w:rsid w:val="00897903"/>
    <w:rsid w:val="008A01D5"/>
    <w:rsid w:val="008A1329"/>
    <w:rsid w:val="008A1D91"/>
    <w:rsid w:val="008A27FA"/>
    <w:rsid w:val="008A407E"/>
    <w:rsid w:val="008A43F4"/>
    <w:rsid w:val="008A5152"/>
    <w:rsid w:val="008A58C9"/>
    <w:rsid w:val="008A5D39"/>
    <w:rsid w:val="008A735E"/>
    <w:rsid w:val="008A7377"/>
    <w:rsid w:val="008A783F"/>
    <w:rsid w:val="008B072B"/>
    <w:rsid w:val="008B0CF5"/>
    <w:rsid w:val="008B135B"/>
    <w:rsid w:val="008B2C4B"/>
    <w:rsid w:val="008B3634"/>
    <w:rsid w:val="008B3800"/>
    <w:rsid w:val="008B551A"/>
    <w:rsid w:val="008B57B1"/>
    <w:rsid w:val="008B5CCF"/>
    <w:rsid w:val="008B6027"/>
    <w:rsid w:val="008B605D"/>
    <w:rsid w:val="008B6444"/>
    <w:rsid w:val="008B775E"/>
    <w:rsid w:val="008C002D"/>
    <w:rsid w:val="008C12EF"/>
    <w:rsid w:val="008C1AC3"/>
    <w:rsid w:val="008C218F"/>
    <w:rsid w:val="008C2652"/>
    <w:rsid w:val="008C2C3C"/>
    <w:rsid w:val="008C5906"/>
    <w:rsid w:val="008D076A"/>
    <w:rsid w:val="008D0EA8"/>
    <w:rsid w:val="008D110C"/>
    <w:rsid w:val="008D1622"/>
    <w:rsid w:val="008D3F0E"/>
    <w:rsid w:val="008D4395"/>
    <w:rsid w:val="008E1057"/>
    <w:rsid w:val="008E1704"/>
    <w:rsid w:val="008E2D6B"/>
    <w:rsid w:val="008E424F"/>
    <w:rsid w:val="008E5934"/>
    <w:rsid w:val="008E5B62"/>
    <w:rsid w:val="008E6BA9"/>
    <w:rsid w:val="008E77E2"/>
    <w:rsid w:val="008F0A92"/>
    <w:rsid w:val="008F2299"/>
    <w:rsid w:val="008F53F6"/>
    <w:rsid w:val="008F5DF9"/>
    <w:rsid w:val="008F6988"/>
    <w:rsid w:val="008F77BE"/>
    <w:rsid w:val="0090037F"/>
    <w:rsid w:val="009007AC"/>
    <w:rsid w:val="009008D3"/>
    <w:rsid w:val="009011D5"/>
    <w:rsid w:val="009030D2"/>
    <w:rsid w:val="009034E1"/>
    <w:rsid w:val="00903A5D"/>
    <w:rsid w:val="0090474E"/>
    <w:rsid w:val="00905D02"/>
    <w:rsid w:val="009101B3"/>
    <w:rsid w:val="0091077D"/>
    <w:rsid w:val="009115A9"/>
    <w:rsid w:val="00911988"/>
    <w:rsid w:val="00912DD5"/>
    <w:rsid w:val="00913E5C"/>
    <w:rsid w:val="009151FD"/>
    <w:rsid w:val="00915646"/>
    <w:rsid w:val="00915D80"/>
    <w:rsid w:val="0091736C"/>
    <w:rsid w:val="00917A00"/>
    <w:rsid w:val="00917E7D"/>
    <w:rsid w:val="00920259"/>
    <w:rsid w:val="0092072F"/>
    <w:rsid w:val="0092215A"/>
    <w:rsid w:val="00923A8B"/>
    <w:rsid w:val="009244E0"/>
    <w:rsid w:val="0092490F"/>
    <w:rsid w:val="00924BC5"/>
    <w:rsid w:val="00926984"/>
    <w:rsid w:val="00927116"/>
    <w:rsid w:val="00927639"/>
    <w:rsid w:val="00927B55"/>
    <w:rsid w:val="00927EC4"/>
    <w:rsid w:val="0093092E"/>
    <w:rsid w:val="0093387B"/>
    <w:rsid w:val="00933D99"/>
    <w:rsid w:val="00934DC2"/>
    <w:rsid w:val="00934E12"/>
    <w:rsid w:val="00935EB4"/>
    <w:rsid w:val="00936C7E"/>
    <w:rsid w:val="009406A7"/>
    <w:rsid w:val="00940E35"/>
    <w:rsid w:val="0094122B"/>
    <w:rsid w:val="00941AD8"/>
    <w:rsid w:val="00942834"/>
    <w:rsid w:val="0094295D"/>
    <w:rsid w:val="00943135"/>
    <w:rsid w:val="00943458"/>
    <w:rsid w:val="00943492"/>
    <w:rsid w:val="00944394"/>
    <w:rsid w:val="00944B6B"/>
    <w:rsid w:val="009457B7"/>
    <w:rsid w:val="009459D9"/>
    <w:rsid w:val="00946100"/>
    <w:rsid w:val="009465C1"/>
    <w:rsid w:val="00946B27"/>
    <w:rsid w:val="009476E4"/>
    <w:rsid w:val="00947CC0"/>
    <w:rsid w:val="00950475"/>
    <w:rsid w:val="00950B90"/>
    <w:rsid w:val="00952DA3"/>
    <w:rsid w:val="00952DA6"/>
    <w:rsid w:val="009541B6"/>
    <w:rsid w:val="009549A9"/>
    <w:rsid w:val="009550F3"/>
    <w:rsid w:val="00955A90"/>
    <w:rsid w:val="009564E8"/>
    <w:rsid w:val="00956714"/>
    <w:rsid w:val="0095688C"/>
    <w:rsid w:val="00960072"/>
    <w:rsid w:val="00960C92"/>
    <w:rsid w:val="00961DC4"/>
    <w:rsid w:val="00961F32"/>
    <w:rsid w:val="009621AA"/>
    <w:rsid w:val="0096265E"/>
    <w:rsid w:val="00963084"/>
    <w:rsid w:val="0096376A"/>
    <w:rsid w:val="00963B44"/>
    <w:rsid w:val="009647B0"/>
    <w:rsid w:val="00964EA8"/>
    <w:rsid w:val="0096673E"/>
    <w:rsid w:val="00967133"/>
    <w:rsid w:val="009725CE"/>
    <w:rsid w:val="00972BFA"/>
    <w:rsid w:val="00973C8B"/>
    <w:rsid w:val="009753AB"/>
    <w:rsid w:val="00975C55"/>
    <w:rsid w:val="0097759B"/>
    <w:rsid w:val="00977FF3"/>
    <w:rsid w:val="009801CD"/>
    <w:rsid w:val="009824A9"/>
    <w:rsid w:val="00982BE1"/>
    <w:rsid w:val="00983375"/>
    <w:rsid w:val="00984B3B"/>
    <w:rsid w:val="0098508C"/>
    <w:rsid w:val="009863AE"/>
    <w:rsid w:val="0098658A"/>
    <w:rsid w:val="0098676D"/>
    <w:rsid w:val="009876EC"/>
    <w:rsid w:val="009903C3"/>
    <w:rsid w:val="00990A4F"/>
    <w:rsid w:val="00991487"/>
    <w:rsid w:val="00991863"/>
    <w:rsid w:val="009921FA"/>
    <w:rsid w:val="00992852"/>
    <w:rsid w:val="00992F96"/>
    <w:rsid w:val="009934D5"/>
    <w:rsid w:val="00993BCC"/>
    <w:rsid w:val="00995C89"/>
    <w:rsid w:val="00995D9B"/>
    <w:rsid w:val="00996506"/>
    <w:rsid w:val="0099659F"/>
    <w:rsid w:val="00997E6B"/>
    <w:rsid w:val="009A1737"/>
    <w:rsid w:val="009A1F34"/>
    <w:rsid w:val="009A1F4E"/>
    <w:rsid w:val="009A2A10"/>
    <w:rsid w:val="009A2DDD"/>
    <w:rsid w:val="009A3570"/>
    <w:rsid w:val="009A558A"/>
    <w:rsid w:val="009A6539"/>
    <w:rsid w:val="009A71E1"/>
    <w:rsid w:val="009A77E6"/>
    <w:rsid w:val="009B0A06"/>
    <w:rsid w:val="009B149E"/>
    <w:rsid w:val="009B1A29"/>
    <w:rsid w:val="009B210A"/>
    <w:rsid w:val="009B2A76"/>
    <w:rsid w:val="009B54B5"/>
    <w:rsid w:val="009B5881"/>
    <w:rsid w:val="009B6397"/>
    <w:rsid w:val="009B66FB"/>
    <w:rsid w:val="009B6D55"/>
    <w:rsid w:val="009B70A6"/>
    <w:rsid w:val="009B74AB"/>
    <w:rsid w:val="009C043E"/>
    <w:rsid w:val="009C0529"/>
    <w:rsid w:val="009C0FF8"/>
    <w:rsid w:val="009C1115"/>
    <w:rsid w:val="009C1840"/>
    <w:rsid w:val="009C31AC"/>
    <w:rsid w:val="009C6571"/>
    <w:rsid w:val="009D045B"/>
    <w:rsid w:val="009D0A8A"/>
    <w:rsid w:val="009D0A92"/>
    <w:rsid w:val="009D0B35"/>
    <w:rsid w:val="009D2480"/>
    <w:rsid w:val="009D29CC"/>
    <w:rsid w:val="009D4640"/>
    <w:rsid w:val="009D4EA8"/>
    <w:rsid w:val="009D5055"/>
    <w:rsid w:val="009D689D"/>
    <w:rsid w:val="009D79E2"/>
    <w:rsid w:val="009D7A9F"/>
    <w:rsid w:val="009E0836"/>
    <w:rsid w:val="009E115A"/>
    <w:rsid w:val="009E1957"/>
    <w:rsid w:val="009E259A"/>
    <w:rsid w:val="009E3C77"/>
    <w:rsid w:val="009E4B67"/>
    <w:rsid w:val="009E57E2"/>
    <w:rsid w:val="009E5FC9"/>
    <w:rsid w:val="009E726C"/>
    <w:rsid w:val="009E74B1"/>
    <w:rsid w:val="009E7A2F"/>
    <w:rsid w:val="009E7B17"/>
    <w:rsid w:val="009E7FCE"/>
    <w:rsid w:val="009F01DF"/>
    <w:rsid w:val="009F0201"/>
    <w:rsid w:val="009F046D"/>
    <w:rsid w:val="009F1D38"/>
    <w:rsid w:val="009F30F0"/>
    <w:rsid w:val="009F34A1"/>
    <w:rsid w:val="009F37A2"/>
    <w:rsid w:val="009F405A"/>
    <w:rsid w:val="009F5C54"/>
    <w:rsid w:val="009F6D2E"/>
    <w:rsid w:val="009F70D6"/>
    <w:rsid w:val="009F7163"/>
    <w:rsid w:val="00A0090C"/>
    <w:rsid w:val="00A01844"/>
    <w:rsid w:val="00A0232B"/>
    <w:rsid w:val="00A02346"/>
    <w:rsid w:val="00A03E16"/>
    <w:rsid w:val="00A06DD4"/>
    <w:rsid w:val="00A073F4"/>
    <w:rsid w:val="00A10CBF"/>
    <w:rsid w:val="00A12561"/>
    <w:rsid w:val="00A1294E"/>
    <w:rsid w:val="00A12B82"/>
    <w:rsid w:val="00A12BDC"/>
    <w:rsid w:val="00A16FA6"/>
    <w:rsid w:val="00A2006B"/>
    <w:rsid w:val="00A20228"/>
    <w:rsid w:val="00A21597"/>
    <w:rsid w:val="00A2186B"/>
    <w:rsid w:val="00A22C51"/>
    <w:rsid w:val="00A243CC"/>
    <w:rsid w:val="00A2558E"/>
    <w:rsid w:val="00A26003"/>
    <w:rsid w:val="00A26E24"/>
    <w:rsid w:val="00A27ADB"/>
    <w:rsid w:val="00A27DB7"/>
    <w:rsid w:val="00A31468"/>
    <w:rsid w:val="00A32490"/>
    <w:rsid w:val="00A3299A"/>
    <w:rsid w:val="00A33369"/>
    <w:rsid w:val="00A3356E"/>
    <w:rsid w:val="00A339E9"/>
    <w:rsid w:val="00A34C1C"/>
    <w:rsid w:val="00A354EC"/>
    <w:rsid w:val="00A358B0"/>
    <w:rsid w:val="00A35DF4"/>
    <w:rsid w:val="00A363C7"/>
    <w:rsid w:val="00A36568"/>
    <w:rsid w:val="00A41231"/>
    <w:rsid w:val="00A41E05"/>
    <w:rsid w:val="00A42558"/>
    <w:rsid w:val="00A428B0"/>
    <w:rsid w:val="00A43300"/>
    <w:rsid w:val="00A43919"/>
    <w:rsid w:val="00A43974"/>
    <w:rsid w:val="00A43992"/>
    <w:rsid w:val="00A43B00"/>
    <w:rsid w:val="00A4609E"/>
    <w:rsid w:val="00A46FEC"/>
    <w:rsid w:val="00A47D30"/>
    <w:rsid w:val="00A521F3"/>
    <w:rsid w:val="00A53355"/>
    <w:rsid w:val="00A5385B"/>
    <w:rsid w:val="00A5457B"/>
    <w:rsid w:val="00A54D17"/>
    <w:rsid w:val="00A55910"/>
    <w:rsid w:val="00A5595C"/>
    <w:rsid w:val="00A568A9"/>
    <w:rsid w:val="00A6067F"/>
    <w:rsid w:val="00A60C25"/>
    <w:rsid w:val="00A60D11"/>
    <w:rsid w:val="00A62A52"/>
    <w:rsid w:val="00A63B1E"/>
    <w:rsid w:val="00A63E09"/>
    <w:rsid w:val="00A63E36"/>
    <w:rsid w:val="00A64FAE"/>
    <w:rsid w:val="00A670AE"/>
    <w:rsid w:val="00A70136"/>
    <w:rsid w:val="00A7135D"/>
    <w:rsid w:val="00A718FA"/>
    <w:rsid w:val="00A73B25"/>
    <w:rsid w:val="00A758E8"/>
    <w:rsid w:val="00A76957"/>
    <w:rsid w:val="00A77E8D"/>
    <w:rsid w:val="00A77F5C"/>
    <w:rsid w:val="00A8023E"/>
    <w:rsid w:val="00A8093D"/>
    <w:rsid w:val="00A8123F"/>
    <w:rsid w:val="00A812CD"/>
    <w:rsid w:val="00A82378"/>
    <w:rsid w:val="00A82836"/>
    <w:rsid w:val="00A82D74"/>
    <w:rsid w:val="00A82EDC"/>
    <w:rsid w:val="00A8305F"/>
    <w:rsid w:val="00A83814"/>
    <w:rsid w:val="00A8385F"/>
    <w:rsid w:val="00A84541"/>
    <w:rsid w:val="00A84B77"/>
    <w:rsid w:val="00A856D5"/>
    <w:rsid w:val="00A85A0C"/>
    <w:rsid w:val="00A85E2F"/>
    <w:rsid w:val="00A85F72"/>
    <w:rsid w:val="00A866A0"/>
    <w:rsid w:val="00A873A3"/>
    <w:rsid w:val="00A87A4D"/>
    <w:rsid w:val="00A907F9"/>
    <w:rsid w:val="00A90AB4"/>
    <w:rsid w:val="00A93D83"/>
    <w:rsid w:val="00A95331"/>
    <w:rsid w:val="00A95D62"/>
    <w:rsid w:val="00A9794D"/>
    <w:rsid w:val="00A97A9F"/>
    <w:rsid w:val="00AA06CC"/>
    <w:rsid w:val="00AA0770"/>
    <w:rsid w:val="00AA2158"/>
    <w:rsid w:val="00AA2C51"/>
    <w:rsid w:val="00AA2CB3"/>
    <w:rsid w:val="00AA3C42"/>
    <w:rsid w:val="00AA5518"/>
    <w:rsid w:val="00AA55EE"/>
    <w:rsid w:val="00AA5EF8"/>
    <w:rsid w:val="00AA6C19"/>
    <w:rsid w:val="00AA6FD8"/>
    <w:rsid w:val="00AA7EA9"/>
    <w:rsid w:val="00AA7FA8"/>
    <w:rsid w:val="00AB1BD7"/>
    <w:rsid w:val="00AB562E"/>
    <w:rsid w:val="00AB5D75"/>
    <w:rsid w:val="00AB5F9C"/>
    <w:rsid w:val="00AB624A"/>
    <w:rsid w:val="00AB6501"/>
    <w:rsid w:val="00AB7DB3"/>
    <w:rsid w:val="00AC0190"/>
    <w:rsid w:val="00AC1987"/>
    <w:rsid w:val="00AC1BFB"/>
    <w:rsid w:val="00AC340D"/>
    <w:rsid w:val="00AC348C"/>
    <w:rsid w:val="00AC3C22"/>
    <w:rsid w:val="00AC4ADD"/>
    <w:rsid w:val="00AC4DC9"/>
    <w:rsid w:val="00AC5377"/>
    <w:rsid w:val="00AC5612"/>
    <w:rsid w:val="00AC58B1"/>
    <w:rsid w:val="00AC7BD3"/>
    <w:rsid w:val="00AC7F76"/>
    <w:rsid w:val="00AD043D"/>
    <w:rsid w:val="00AD18F1"/>
    <w:rsid w:val="00AD2132"/>
    <w:rsid w:val="00AD29A0"/>
    <w:rsid w:val="00AD29BF"/>
    <w:rsid w:val="00AD4F40"/>
    <w:rsid w:val="00AD5005"/>
    <w:rsid w:val="00AD5938"/>
    <w:rsid w:val="00AD628D"/>
    <w:rsid w:val="00AD7C69"/>
    <w:rsid w:val="00AE0391"/>
    <w:rsid w:val="00AE131D"/>
    <w:rsid w:val="00AE2FE7"/>
    <w:rsid w:val="00AE36A5"/>
    <w:rsid w:val="00AE56CD"/>
    <w:rsid w:val="00AE679A"/>
    <w:rsid w:val="00AE7DBC"/>
    <w:rsid w:val="00AF071F"/>
    <w:rsid w:val="00AF0CB9"/>
    <w:rsid w:val="00AF171A"/>
    <w:rsid w:val="00AF251A"/>
    <w:rsid w:val="00AF2E1A"/>
    <w:rsid w:val="00AF3035"/>
    <w:rsid w:val="00AF3447"/>
    <w:rsid w:val="00AF6882"/>
    <w:rsid w:val="00AF6D65"/>
    <w:rsid w:val="00AF763B"/>
    <w:rsid w:val="00B026E0"/>
    <w:rsid w:val="00B02D54"/>
    <w:rsid w:val="00B0416D"/>
    <w:rsid w:val="00B042E4"/>
    <w:rsid w:val="00B043FF"/>
    <w:rsid w:val="00B053A5"/>
    <w:rsid w:val="00B0642C"/>
    <w:rsid w:val="00B07211"/>
    <w:rsid w:val="00B10F6E"/>
    <w:rsid w:val="00B13199"/>
    <w:rsid w:val="00B14889"/>
    <w:rsid w:val="00B16050"/>
    <w:rsid w:val="00B16C59"/>
    <w:rsid w:val="00B17389"/>
    <w:rsid w:val="00B206BD"/>
    <w:rsid w:val="00B20740"/>
    <w:rsid w:val="00B21C0F"/>
    <w:rsid w:val="00B2251A"/>
    <w:rsid w:val="00B27E97"/>
    <w:rsid w:val="00B30849"/>
    <w:rsid w:val="00B31157"/>
    <w:rsid w:val="00B31EB2"/>
    <w:rsid w:val="00B32452"/>
    <w:rsid w:val="00B32882"/>
    <w:rsid w:val="00B328FD"/>
    <w:rsid w:val="00B33547"/>
    <w:rsid w:val="00B33CB5"/>
    <w:rsid w:val="00B34251"/>
    <w:rsid w:val="00B34D0F"/>
    <w:rsid w:val="00B34F34"/>
    <w:rsid w:val="00B358F8"/>
    <w:rsid w:val="00B36FAB"/>
    <w:rsid w:val="00B375C4"/>
    <w:rsid w:val="00B37C57"/>
    <w:rsid w:val="00B37D81"/>
    <w:rsid w:val="00B409D6"/>
    <w:rsid w:val="00B451E4"/>
    <w:rsid w:val="00B45223"/>
    <w:rsid w:val="00B47B11"/>
    <w:rsid w:val="00B512B2"/>
    <w:rsid w:val="00B522E0"/>
    <w:rsid w:val="00B52D5C"/>
    <w:rsid w:val="00B53719"/>
    <w:rsid w:val="00B538D5"/>
    <w:rsid w:val="00B53D9A"/>
    <w:rsid w:val="00B557E2"/>
    <w:rsid w:val="00B55A16"/>
    <w:rsid w:val="00B56179"/>
    <w:rsid w:val="00B57AE8"/>
    <w:rsid w:val="00B60544"/>
    <w:rsid w:val="00B60631"/>
    <w:rsid w:val="00B65BE8"/>
    <w:rsid w:val="00B669F0"/>
    <w:rsid w:val="00B670CA"/>
    <w:rsid w:val="00B67997"/>
    <w:rsid w:val="00B67C41"/>
    <w:rsid w:val="00B710E5"/>
    <w:rsid w:val="00B72315"/>
    <w:rsid w:val="00B72346"/>
    <w:rsid w:val="00B72380"/>
    <w:rsid w:val="00B72400"/>
    <w:rsid w:val="00B74BD9"/>
    <w:rsid w:val="00B74CB2"/>
    <w:rsid w:val="00B755E2"/>
    <w:rsid w:val="00B75BE6"/>
    <w:rsid w:val="00B763EA"/>
    <w:rsid w:val="00B77909"/>
    <w:rsid w:val="00B81FBF"/>
    <w:rsid w:val="00B82B9D"/>
    <w:rsid w:val="00B83201"/>
    <w:rsid w:val="00B83A0E"/>
    <w:rsid w:val="00B84919"/>
    <w:rsid w:val="00B84C5D"/>
    <w:rsid w:val="00B863B9"/>
    <w:rsid w:val="00B9077D"/>
    <w:rsid w:val="00B919AC"/>
    <w:rsid w:val="00B91A89"/>
    <w:rsid w:val="00B92E86"/>
    <w:rsid w:val="00B94FF4"/>
    <w:rsid w:val="00B950C7"/>
    <w:rsid w:val="00B95B52"/>
    <w:rsid w:val="00B964DD"/>
    <w:rsid w:val="00B9719F"/>
    <w:rsid w:val="00B97910"/>
    <w:rsid w:val="00BA0890"/>
    <w:rsid w:val="00BA29EB"/>
    <w:rsid w:val="00BA3855"/>
    <w:rsid w:val="00BA3BE3"/>
    <w:rsid w:val="00BA42A9"/>
    <w:rsid w:val="00BA4DD2"/>
    <w:rsid w:val="00BA5031"/>
    <w:rsid w:val="00BA601D"/>
    <w:rsid w:val="00BA733E"/>
    <w:rsid w:val="00BB1465"/>
    <w:rsid w:val="00BB17B5"/>
    <w:rsid w:val="00BB3715"/>
    <w:rsid w:val="00BB3B50"/>
    <w:rsid w:val="00BB4203"/>
    <w:rsid w:val="00BB4890"/>
    <w:rsid w:val="00BB7290"/>
    <w:rsid w:val="00BC022B"/>
    <w:rsid w:val="00BC1E62"/>
    <w:rsid w:val="00BC1EE1"/>
    <w:rsid w:val="00BC20F0"/>
    <w:rsid w:val="00BC74CA"/>
    <w:rsid w:val="00BC7E0E"/>
    <w:rsid w:val="00BD079E"/>
    <w:rsid w:val="00BD1053"/>
    <w:rsid w:val="00BD1187"/>
    <w:rsid w:val="00BD1737"/>
    <w:rsid w:val="00BD58C4"/>
    <w:rsid w:val="00BD5F6E"/>
    <w:rsid w:val="00BD74D1"/>
    <w:rsid w:val="00BD7806"/>
    <w:rsid w:val="00BE0679"/>
    <w:rsid w:val="00BE1F4E"/>
    <w:rsid w:val="00BE7EB1"/>
    <w:rsid w:val="00BF10DF"/>
    <w:rsid w:val="00BF1426"/>
    <w:rsid w:val="00BF159F"/>
    <w:rsid w:val="00BF27B8"/>
    <w:rsid w:val="00BF306C"/>
    <w:rsid w:val="00BF34F5"/>
    <w:rsid w:val="00BF392B"/>
    <w:rsid w:val="00BF3A1C"/>
    <w:rsid w:val="00BF3E8B"/>
    <w:rsid w:val="00BF4C17"/>
    <w:rsid w:val="00BF5B11"/>
    <w:rsid w:val="00BF66AE"/>
    <w:rsid w:val="00BF7A50"/>
    <w:rsid w:val="00BF7FE2"/>
    <w:rsid w:val="00C01AEE"/>
    <w:rsid w:val="00C02314"/>
    <w:rsid w:val="00C0235E"/>
    <w:rsid w:val="00C02D26"/>
    <w:rsid w:val="00C032B5"/>
    <w:rsid w:val="00C04400"/>
    <w:rsid w:val="00C049F8"/>
    <w:rsid w:val="00C067E9"/>
    <w:rsid w:val="00C06B73"/>
    <w:rsid w:val="00C10E3F"/>
    <w:rsid w:val="00C11306"/>
    <w:rsid w:val="00C12559"/>
    <w:rsid w:val="00C128CA"/>
    <w:rsid w:val="00C12FBF"/>
    <w:rsid w:val="00C13A5B"/>
    <w:rsid w:val="00C13A70"/>
    <w:rsid w:val="00C1473A"/>
    <w:rsid w:val="00C206B9"/>
    <w:rsid w:val="00C2193B"/>
    <w:rsid w:val="00C2205A"/>
    <w:rsid w:val="00C22C8B"/>
    <w:rsid w:val="00C24561"/>
    <w:rsid w:val="00C24BA3"/>
    <w:rsid w:val="00C25644"/>
    <w:rsid w:val="00C26CD5"/>
    <w:rsid w:val="00C27202"/>
    <w:rsid w:val="00C27C3E"/>
    <w:rsid w:val="00C302C9"/>
    <w:rsid w:val="00C3046C"/>
    <w:rsid w:val="00C31B11"/>
    <w:rsid w:val="00C33847"/>
    <w:rsid w:val="00C33D16"/>
    <w:rsid w:val="00C3436F"/>
    <w:rsid w:val="00C35E23"/>
    <w:rsid w:val="00C369DF"/>
    <w:rsid w:val="00C37982"/>
    <w:rsid w:val="00C401C0"/>
    <w:rsid w:val="00C4089E"/>
    <w:rsid w:val="00C428E3"/>
    <w:rsid w:val="00C42CA6"/>
    <w:rsid w:val="00C4384F"/>
    <w:rsid w:val="00C44046"/>
    <w:rsid w:val="00C468E1"/>
    <w:rsid w:val="00C46AF8"/>
    <w:rsid w:val="00C46C1A"/>
    <w:rsid w:val="00C47A20"/>
    <w:rsid w:val="00C47E12"/>
    <w:rsid w:val="00C503D3"/>
    <w:rsid w:val="00C5168F"/>
    <w:rsid w:val="00C524B5"/>
    <w:rsid w:val="00C53349"/>
    <w:rsid w:val="00C53373"/>
    <w:rsid w:val="00C55625"/>
    <w:rsid w:val="00C563F6"/>
    <w:rsid w:val="00C56623"/>
    <w:rsid w:val="00C56994"/>
    <w:rsid w:val="00C56DF2"/>
    <w:rsid w:val="00C56E40"/>
    <w:rsid w:val="00C600C3"/>
    <w:rsid w:val="00C60186"/>
    <w:rsid w:val="00C6022F"/>
    <w:rsid w:val="00C60DEC"/>
    <w:rsid w:val="00C61220"/>
    <w:rsid w:val="00C61425"/>
    <w:rsid w:val="00C620AB"/>
    <w:rsid w:val="00C65747"/>
    <w:rsid w:val="00C66301"/>
    <w:rsid w:val="00C70003"/>
    <w:rsid w:val="00C700C9"/>
    <w:rsid w:val="00C734B7"/>
    <w:rsid w:val="00C75DC6"/>
    <w:rsid w:val="00C75E1D"/>
    <w:rsid w:val="00C763F4"/>
    <w:rsid w:val="00C76D59"/>
    <w:rsid w:val="00C76D73"/>
    <w:rsid w:val="00C77829"/>
    <w:rsid w:val="00C81699"/>
    <w:rsid w:val="00C8238B"/>
    <w:rsid w:val="00C84217"/>
    <w:rsid w:val="00C85468"/>
    <w:rsid w:val="00C860B6"/>
    <w:rsid w:val="00C863CD"/>
    <w:rsid w:val="00C91314"/>
    <w:rsid w:val="00C9253F"/>
    <w:rsid w:val="00C94231"/>
    <w:rsid w:val="00C968CE"/>
    <w:rsid w:val="00C97320"/>
    <w:rsid w:val="00CA12E5"/>
    <w:rsid w:val="00CA1DFB"/>
    <w:rsid w:val="00CA2B14"/>
    <w:rsid w:val="00CA34C0"/>
    <w:rsid w:val="00CA34CC"/>
    <w:rsid w:val="00CA3672"/>
    <w:rsid w:val="00CA36E7"/>
    <w:rsid w:val="00CA3B32"/>
    <w:rsid w:val="00CA4DB2"/>
    <w:rsid w:val="00CA4E4E"/>
    <w:rsid w:val="00CA5E2D"/>
    <w:rsid w:val="00CA7B22"/>
    <w:rsid w:val="00CA7B6B"/>
    <w:rsid w:val="00CB093E"/>
    <w:rsid w:val="00CB39AB"/>
    <w:rsid w:val="00CB5F06"/>
    <w:rsid w:val="00CC013D"/>
    <w:rsid w:val="00CC17A8"/>
    <w:rsid w:val="00CC23A2"/>
    <w:rsid w:val="00CC2827"/>
    <w:rsid w:val="00CC4017"/>
    <w:rsid w:val="00CC4092"/>
    <w:rsid w:val="00CC4CAE"/>
    <w:rsid w:val="00CC4F6F"/>
    <w:rsid w:val="00CC5611"/>
    <w:rsid w:val="00CC5848"/>
    <w:rsid w:val="00CC6911"/>
    <w:rsid w:val="00CC71FC"/>
    <w:rsid w:val="00CC7474"/>
    <w:rsid w:val="00CD386C"/>
    <w:rsid w:val="00CD4CB0"/>
    <w:rsid w:val="00CD5545"/>
    <w:rsid w:val="00CD5884"/>
    <w:rsid w:val="00CD6678"/>
    <w:rsid w:val="00CE039A"/>
    <w:rsid w:val="00CE14FA"/>
    <w:rsid w:val="00CE1E99"/>
    <w:rsid w:val="00CE3CA3"/>
    <w:rsid w:val="00CE3CAE"/>
    <w:rsid w:val="00CE40A0"/>
    <w:rsid w:val="00CE5AD2"/>
    <w:rsid w:val="00CE705C"/>
    <w:rsid w:val="00CF0109"/>
    <w:rsid w:val="00CF04DD"/>
    <w:rsid w:val="00CF1078"/>
    <w:rsid w:val="00CF1276"/>
    <w:rsid w:val="00CF1A02"/>
    <w:rsid w:val="00CF1D63"/>
    <w:rsid w:val="00CF31DB"/>
    <w:rsid w:val="00CF3718"/>
    <w:rsid w:val="00CF3CA9"/>
    <w:rsid w:val="00CF48C1"/>
    <w:rsid w:val="00CF6D17"/>
    <w:rsid w:val="00CF6F18"/>
    <w:rsid w:val="00CF7007"/>
    <w:rsid w:val="00CF7DBA"/>
    <w:rsid w:val="00D00949"/>
    <w:rsid w:val="00D00C97"/>
    <w:rsid w:val="00D01E60"/>
    <w:rsid w:val="00D021CE"/>
    <w:rsid w:val="00D03236"/>
    <w:rsid w:val="00D03BBC"/>
    <w:rsid w:val="00D03EAE"/>
    <w:rsid w:val="00D06690"/>
    <w:rsid w:val="00D06D12"/>
    <w:rsid w:val="00D06EC3"/>
    <w:rsid w:val="00D07674"/>
    <w:rsid w:val="00D0779B"/>
    <w:rsid w:val="00D1037C"/>
    <w:rsid w:val="00D10618"/>
    <w:rsid w:val="00D10690"/>
    <w:rsid w:val="00D10BE4"/>
    <w:rsid w:val="00D11B99"/>
    <w:rsid w:val="00D12716"/>
    <w:rsid w:val="00D12B81"/>
    <w:rsid w:val="00D12DEF"/>
    <w:rsid w:val="00D13408"/>
    <w:rsid w:val="00D1571E"/>
    <w:rsid w:val="00D15ED1"/>
    <w:rsid w:val="00D1618D"/>
    <w:rsid w:val="00D16491"/>
    <w:rsid w:val="00D164D2"/>
    <w:rsid w:val="00D201C1"/>
    <w:rsid w:val="00D203FF"/>
    <w:rsid w:val="00D20452"/>
    <w:rsid w:val="00D21167"/>
    <w:rsid w:val="00D21F64"/>
    <w:rsid w:val="00D21FD3"/>
    <w:rsid w:val="00D22CB7"/>
    <w:rsid w:val="00D234A5"/>
    <w:rsid w:val="00D237DB"/>
    <w:rsid w:val="00D23A31"/>
    <w:rsid w:val="00D25325"/>
    <w:rsid w:val="00D25FCD"/>
    <w:rsid w:val="00D2626F"/>
    <w:rsid w:val="00D31967"/>
    <w:rsid w:val="00D3567B"/>
    <w:rsid w:val="00D359ED"/>
    <w:rsid w:val="00D36447"/>
    <w:rsid w:val="00D36891"/>
    <w:rsid w:val="00D36A2F"/>
    <w:rsid w:val="00D36F48"/>
    <w:rsid w:val="00D3770D"/>
    <w:rsid w:val="00D409C3"/>
    <w:rsid w:val="00D409DF"/>
    <w:rsid w:val="00D40FA5"/>
    <w:rsid w:val="00D4145C"/>
    <w:rsid w:val="00D42EE8"/>
    <w:rsid w:val="00D43652"/>
    <w:rsid w:val="00D4414C"/>
    <w:rsid w:val="00D46591"/>
    <w:rsid w:val="00D46E4F"/>
    <w:rsid w:val="00D47F7A"/>
    <w:rsid w:val="00D50DD9"/>
    <w:rsid w:val="00D53235"/>
    <w:rsid w:val="00D54247"/>
    <w:rsid w:val="00D552A4"/>
    <w:rsid w:val="00D55992"/>
    <w:rsid w:val="00D56148"/>
    <w:rsid w:val="00D565A7"/>
    <w:rsid w:val="00D567FF"/>
    <w:rsid w:val="00D56A75"/>
    <w:rsid w:val="00D574B2"/>
    <w:rsid w:val="00D60725"/>
    <w:rsid w:val="00D607D2"/>
    <w:rsid w:val="00D613CC"/>
    <w:rsid w:val="00D62C41"/>
    <w:rsid w:val="00D6310F"/>
    <w:rsid w:val="00D63B1A"/>
    <w:rsid w:val="00D63CE4"/>
    <w:rsid w:val="00D6430F"/>
    <w:rsid w:val="00D64C99"/>
    <w:rsid w:val="00D70E8E"/>
    <w:rsid w:val="00D724E3"/>
    <w:rsid w:val="00D72D9A"/>
    <w:rsid w:val="00D737EE"/>
    <w:rsid w:val="00D7469E"/>
    <w:rsid w:val="00D765F1"/>
    <w:rsid w:val="00D7675B"/>
    <w:rsid w:val="00D80294"/>
    <w:rsid w:val="00D81676"/>
    <w:rsid w:val="00D82E02"/>
    <w:rsid w:val="00D82EF3"/>
    <w:rsid w:val="00D84FBB"/>
    <w:rsid w:val="00D85111"/>
    <w:rsid w:val="00D859CD"/>
    <w:rsid w:val="00D86011"/>
    <w:rsid w:val="00D871A8"/>
    <w:rsid w:val="00D87349"/>
    <w:rsid w:val="00D901B8"/>
    <w:rsid w:val="00D91055"/>
    <w:rsid w:val="00D9112E"/>
    <w:rsid w:val="00D913B3"/>
    <w:rsid w:val="00D91689"/>
    <w:rsid w:val="00D923E6"/>
    <w:rsid w:val="00D92977"/>
    <w:rsid w:val="00D92A69"/>
    <w:rsid w:val="00D93263"/>
    <w:rsid w:val="00D9352C"/>
    <w:rsid w:val="00D93A18"/>
    <w:rsid w:val="00D94A3D"/>
    <w:rsid w:val="00D9564E"/>
    <w:rsid w:val="00D957D0"/>
    <w:rsid w:val="00D966F5"/>
    <w:rsid w:val="00DA1524"/>
    <w:rsid w:val="00DA1608"/>
    <w:rsid w:val="00DA2833"/>
    <w:rsid w:val="00DA2B46"/>
    <w:rsid w:val="00DA4139"/>
    <w:rsid w:val="00DA5D05"/>
    <w:rsid w:val="00DA5FEA"/>
    <w:rsid w:val="00DA76FB"/>
    <w:rsid w:val="00DA7867"/>
    <w:rsid w:val="00DB0004"/>
    <w:rsid w:val="00DB0378"/>
    <w:rsid w:val="00DB1364"/>
    <w:rsid w:val="00DB2ACD"/>
    <w:rsid w:val="00DB5497"/>
    <w:rsid w:val="00DC112C"/>
    <w:rsid w:val="00DC1813"/>
    <w:rsid w:val="00DC220F"/>
    <w:rsid w:val="00DC29AD"/>
    <w:rsid w:val="00DC2FC2"/>
    <w:rsid w:val="00DC3E23"/>
    <w:rsid w:val="00DC699C"/>
    <w:rsid w:val="00DC7C52"/>
    <w:rsid w:val="00DD0075"/>
    <w:rsid w:val="00DD02E2"/>
    <w:rsid w:val="00DD12EC"/>
    <w:rsid w:val="00DD13E1"/>
    <w:rsid w:val="00DD1CE9"/>
    <w:rsid w:val="00DD26BA"/>
    <w:rsid w:val="00DD2D1A"/>
    <w:rsid w:val="00DD3493"/>
    <w:rsid w:val="00DD558E"/>
    <w:rsid w:val="00DD5C65"/>
    <w:rsid w:val="00DE01AE"/>
    <w:rsid w:val="00DE165B"/>
    <w:rsid w:val="00DE275A"/>
    <w:rsid w:val="00DE3145"/>
    <w:rsid w:val="00DE49D6"/>
    <w:rsid w:val="00DE4E5E"/>
    <w:rsid w:val="00DE6325"/>
    <w:rsid w:val="00DE76CF"/>
    <w:rsid w:val="00DE7BE6"/>
    <w:rsid w:val="00DF08F3"/>
    <w:rsid w:val="00DF0941"/>
    <w:rsid w:val="00DF1551"/>
    <w:rsid w:val="00DF2A8D"/>
    <w:rsid w:val="00DF2A9C"/>
    <w:rsid w:val="00DF3202"/>
    <w:rsid w:val="00DF33A7"/>
    <w:rsid w:val="00DF3841"/>
    <w:rsid w:val="00DF3986"/>
    <w:rsid w:val="00DF4199"/>
    <w:rsid w:val="00DF47FC"/>
    <w:rsid w:val="00DF5E71"/>
    <w:rsid w:val="00DF639A"/>
    <w:rsid w:val="00DF69A4"/>
    <w:rsid w:val="00DF7914"/>
    <w:rsid w:val="00E0008C"/>
    <w:rsid w:val="00E00B99"/>
    <w:rsid w:val="00E00E96"/>
    <w:rsid w:val="00E01228"/>
    <w:rsid w:val="00E01D48"/>
    <w:rsid w:val="00E03578"/>
    <w:rsid w:val="00E03994"/>
    <w:rsid w:val="00E05693"/>
    <w:rsid w:val="00E06732"/>
    <w:rsid w:val="00E069BB"/>
    <w:rsid w:val="00E06ACB"/>
    <w:rsid w:val="00E0738D"/>
    <w:rsid w:val="00E11797"/>
    <w:rsid w:val="00E12535"/>
    <w:rsid w:val="00E12A34"/>
    <w:rsid w:val="00E1305F"/>
    <w:rsid w:val="00E1701D"/>
    <w:rsid w:val="00E1723F"/>
    <w:rsid w:val="00E1780D"/>
    <w:rsid w:val="00E20FB9"/>
    <w:rsid w:val="00E21285"/>
    <w:rsid w:val="00E22E28"/>
    <w:rsid w:val="00E22EBE"/>
    <w:rsid w:val="00E24AA8"/>
    <w:rsid w:val="00E26BA5"/>
    <w:rsid w:val="00E2735C"/>
    <w:rsid w:val="00E31DBA"/>
    <w:rsid w:val="00E31E2D"/>
    <w:rsid w:val="00E328EE"/>
    <w:rsid w:val="00E32F4C"/>
    <w:rsid w:val="00E34EA5"/>
    <w:rsid w:val="00E351E9"/>
    <w:rsid w:val="00E354FF"/>
    <w:rsid w:val="00E3614A"/>
    <w:rsid w:val="00E36554"/>
    <w:rsid w:val="00E4029D"/>
    <w:rsid w:val="00E40CF9"/>
    <w:rsid w:val="00E4135F"/>
    <w:rsid w:val="00E42218"/>
    <w:rsid w:val="00E44C22"/>
    <w:rsid w:val="00E454D8"/>
    <w:rsid w:val="00E4640A"/>
    <w:rsid w:val="00E515E6"/>
    <w:rsid w:val="00E5209A"/>
    <w:rsid w:val="00E5397C"/>
    <w:rsid w:val="00E53B97"/>
    <w:rsid w:val="00E53C5F"/>
    <w:rsid w:val="00E55CEA"/>
    <w:rsid w:val="00E55F35"/>
    <w:rsid w:val="00E560E5"/>
    <w:rsid w:val="00E57D45"/>
    <w:rsid w:val="00E6065F"/>
    <w:rsid w:val="00E61367"/>
    <w:rsid w:val="00E653C6"/>
    <w:rsid w:val="00E653F6"/>
    <w:rsid w:val="00E666BE"/>
    <w:rsid w:val="00E66A57"/>
    <w:rsid w:val="00E67DA4"/>
    <w:rsid w:val="00E70139"/>
    <w:rsid w:val="00E70506"/>
    <w:rsid w:val="00E71A92"/>
    <w:rsid w:val="00E71C66"/>
    <w:rsid w:val="00E71E05"/>
    <w:rsid w:val="00E71E2B"/>
    <w:rsid w:val="00E72E62"/>
    <w:rsid w:val="00E74595"/>
    <w:rsid w:val="00E75107"/>
    <w:rsid w:val="00E7750D"/>
    <w:rsid w:val="00E81F06"/>
    <w:rsid w:val="00E8530D"/>
    <w:rsid w:val="00E864D5"/>
    <w:rsid w:val="00E870C4"/>
    <w:rsid w:val="00E878D7"/>
    <w:rsid w:val="00E87BA5"/>
    <w:rsid w:val="00E87BEF"/>
    <w:rsid w:val="00E932D2"/>
    <w:rsid w:val="00E94049"/>
    <w:rsid w:val="00E9585B"/>
    <w:rsid w:val="00E95C85"/>
    <w:rsid w:val="00E965BA"/>
    <w:rsid w:val="00E97119"/>
    <w:rsid w:val="00E97D3E"/>
    <w:rsid w:val="00EA1A77"/>
    <w:rsid w:val="00EA2098"/>
    <w:rsid w:val="00EA35AA"/>
    <w:rsid w:val="00EA4198"/>
    <w:rsid w:val="00EA7174"/>
    <w:rsid w:val="00EA7F41"/>
    <w:rsid w:val="00EB06B3"/>
    <w:rsid w:val="00EB0D51"/>
    <w:rsid w:val="00EB2476"/>
    <w:rsid w:val="00EB3783"/>
    <w:rsid w:val="00EB3AA1"/>
    <w:rsid w:val="00EB4208"/>
    <w:rsid w:val="00EB4B5C"/>
    <w:rsid w:val="00EB7C84"/>
    <w:rsid w:val="00EC013A"/>
    <w:rsid w:val="00EC1841"/>
    <w:rsid w:val="00EC1DE6"/>
    <w:rsid w:val="00EC3B76"/>
    <w:rsid w:val="00EC4A2B"/>
    <w:rsid w:val="00ED0472"/>
    <w:rsid w:val="00ED0916"/>
    <w:rsid w:val="00ED0B0E"/>
    <w:rsid w:val="00ED0E4E"/>
    <w:rsid w:val="00ED1F6C"/>
    <w:rsid w:val="00ED237B"/>
    <w:rsid w:val="00ED28E6"/>
    <w:rsid w:val="00ED296E"/>
    <w:rsid w:val="00ED37C7"/>
    <w:rsid w:val="00ED4696"/>
    <w:rsid w:val="00ED4712"/>
    <w:rsid w:val="00ED4976"/>
    <w:rsid w:val="00ED4BDA"/>
    <w:rsid w:val="00ED515F"/>
    <w:rsid w:val="00ED55FD"/>
    <w:rsid w:val="00ED568A"/>
    <w:rsid w:val="00ED64C3"/>
    <w:rsid w:val="00ED7334"/>
    <w:rsid w:val="00ED7525"/>
    <w:rsid w:val="00EE0B28"/>
    <w:rsid w:val="00EE0D20"/>
    <w:rsid w:val="00EE362C"/>
    <w:rsid w:val="00EE3C7F"/>
    <w:rsid w:val="00EE64C1"/>
    <w:rsid w:val="00EF0261"/>
    <w:rsid w:val="00EF09F1"/>
    <w:rsid w:val="00EF1553"/>
    <w:rsid w:val="00EF1913"/>
    <w:rsid w:val="00EF19D0"/>
    <w:rsid w:val="00EF1E10"/>
    <w:rsid w:val="00EF21CA"/>
    <w:rsid w:val="00EF2509"/>
    <w:rsid w:val="00EF29E3"/>
    <w:rsid w:val="00EF3116"/>
    <w:rsid w:val="00EF323D"/>
    <w:rsid w:val="00EF476E"/>
    <w:rsid w:val="00EF4EE3"/>
    <w:rsid w:val="00EF501F"/>
    <w:rsid w:val="00EF52B6"/>
    <w:rsid w:val="00EF5BAD"/>
    <w:rsid w:val="00EF6F2C"/>
    <w:rsid w:val="00EF79BF"/>
    <w:rsid w:val="00F00A18"/>
    <w:rsid w:val="00F028A2"/>
    <w:rsid w:val="00F03CCC"/>
    <w:rsid w:val="00F03F4B"/>
    <w:rsid w:val="00F04D5D"/>
    <w:rsid w:val="00F07019"/>
    <w:rsid w:val="00F0728D"/>
    <w:rsid w:val="00F0784A"/>
    <w:rsid w:val="00F100A5"/>
    <w:rsid w:val="00F117BB"/>
    <w:rsid w:val="00F12091"/>
    <w:rsid w:val="00F13044"/>
    <w:rsid w:val="00F1375E"/>
    <w:rsid w:val="00F15A92"/>
    <w:rsid w:val="00F162C8"/>
    <w:rsid w:val="00F1694F"/>
    <w:rsid w:val="00F207CE"/>
    <w:rsid w:val="00F21362"/>
    <w:rsid w:val="00F21A65"/>
    <w:rsid w:val="00F22D89"/>
    <w:rsid w:val="00F238DA"/>
    <w:rsid w:val="00F23B43"/>
    <w:rsid w:val="00F253E8"/>
    <w:rsid w:val="00F257D3"/>
    <w:rsid w:val="00F25E07"/>
    <w:rsid w:val="00F264C2"/>
    <w:rsid w:val="00F26788"/>
    <w:rsid w:val="00F26AA0"/>
    <w:rsid w:val="00F26CAA"/>
    <w:rsid w:val="00F27906"/>
    <w:rsid w:val="00F30221"/>
    <w:rsid w:val="00F32882"/>
    <w:rsid w:val="00F34999"/>
    <w:rsid w:val="00F3686D"/>
    <w:rsid w:val="00F368D5"/>
    <w:rsid w:val="00F3776D"/>
    <w:rsid w:val="00F40CAF"/>
    <w:rsid w:val="00F41940"/>
    <w:rsid w:val="00F41E94"/>
    <w:rsid w:val="00F4251E"/>
    <w:rsid w:val="00F43B0D"/>
    <w:rsid w:val="00F45E71"/>
    <w:rsid w:val="00F45F0F"/>
    <w:rsid w:val="00F46204"/>
    <w:rsid w:val="00F463C9"/>
    <w:rsid w:val="00F506B2"/>
    <w:rsid w:val="00F506BE"/>
    <w:rsid w:val="00F5107A"/>
    <w:rsid w:val="00F54447"/>
    <w:rsid w:val="00F54E89"/>
    <w:rsid w:val="00F57586"/>
    <w:rsid w:val="00F579DD"/>
    <w:rsid w:val="00F61D6E"/>
    <w:rsid w:val="00F61E4A"/>
    <w:rsid w:val="00F62840"/>
    <w:rsid w:val="00F6476D"/>
    <w:rsid w:val="00F6697C"/>
    <w:rsid w:val="00F6746D"/>
    <w:rsid w:val="00F70762"/>
    <w:rsid w:val="00F70F8E"/>
    <w:rsid w:val="00F71652"/>
    <w:rsid w:val="00F71A3D"/>
    <w:rsid w:val="00F71E42"/>
    <w:rsid w:val="00F72A01"/>
    <w:rsid w:val="00F72BE8"/>
    <w:rsid w:val="00F72C34"/>
    <w:rsid w:val="00F743B4"/>
    <w:rsid w:val="00F74B90"/>
    <w:rsid w:val="00F754F1"/>
    <w:rsid w:val="00F80660"/>
    <w:rsid w:val="00F81E7B"/>
    <w:rsid w:val="00F83941"/>
    <w:rsid w:val="00F857ED"/>
    <w:rsid w:val="00F85C23"/>
    <w:rsid w:val="00F9047A"/>
    <w:rsid w:val="00F907D0"/>
    <w:rsid w:val="00F92715"/>
    <w:rsid w:val="00F939D9"/>
    <w:rsid w:val="00F93ACE"/>
    <w:rsid w:val="00F93AFC"/>
    <w:rsid w:val="00F96588"/>
    <w:rsid w:val="00F96627"/>
    <w:rsid w:val="00F967A9"/>
    <w:rsid w:val="00F96C72"/>
    <w:rsid w:val="00F9715C"/>
    <w:rsid w:val="00FA009C"/>
    <w:rsid w:val="00FA0282"/>
    <w:rsid w:val="00FA0C97"/>
    <w:rsid w:val="00FA0D41"/>
    <w:rsid w:val="00FA18D4"/>
    <w:rsid w:val="00FA1A3B"/>
    <w:rsid w:val="00FA3034"/>
    <w:rsid w:val="00FA4729"/>
    <w:rsid w:val="00FA4ED5"/>
    <w:rsid w:val="00FA7C2F"/>
    <w:rsid w:val="00FB014F"/>
    <w:rsid w:val="00FB0580"/>
    <w:rsid w:val="00FB2637"/>
    <w:rsid w:val="00FB2C74"/>
    <w:rsid w:val="00FB2ED7"/>
    <w:rsid w:val="00FB3F5D"/>
    <w:rsid w:val="00FB40AA"/>
    <w:rsid w:val="00FB4A3E"/>
    <w:rsid w:val="00FB4ED4"/>
    <w:rsid w:val="00FB535F"/>
    <w:rsid w:val="00FB5667"/>
    <w:rsid w:val="00FB5803"/>
    <w:rsid w:val="00FB7B2E"/>
    <w:rsid w:val="00FC12B5"/>
    <w:rsid w:val="00FC1454"/>
    <w:rsid w:val="00FC1734"/>
    <w:rsid w:val="00FC2F47"/>
    <w:rsid w:val="00FC32B3"/>
    <w:rsid w:val="00FC42A3"/>
    <w:rsid w:val="00FC44F1"/>
    <w:rsid w:val="00FC46FA"/>
    <w:rsid w:val="00FC4EED"/>
    <w:rsid w:val="00FC5552"/>
    <w:rsid w:val="00FC55F1"/>
    <w:rsid w:val="00FC637F"/>
    <w:rsid w:val="00FC6E1D"/>
    <w:rsid w:val="00FD0400"/>
    <w:rsid w:val="00FD07D9"/>
    <w:rsid w:val="00FD08C5"/>
    <w:rsid w:val="00FD1995"/>
    <w:rsid w:val="00FD2191"/>
    <w:rsid w:val="00FD3069"/>
    <w:rsid w:val="00FD366D"/>
    <w:rsid w:val="00FD3AE3"/>
    <w:rsid w:val="00FD43B2"/>
    <w:rsid w:val="00FD65BF"/>
    <w:rsid w:val="00FD6816"/>
    <w:rsid w:val="00FD6A10"/>
    <w:rsid w:val="00FD6D0F"/>
    <w:rsid w:val="00FD73BD"/>
    <w:rsid w:val="00FD7661"/>
    <w:rsid w:val="00FE0545"/>
    <w:rsid w:val="00FE0C79"/>
    <w:rsid w:val="00FE224E"/>
    <w:rsid w:val="00FE4383"/>
    <w:rsid w:val="00FE52EB"/>
    <w:rsid w:val="00FE69C1"/>
    <w:rsid w:val="00FE7981"/>
    <w:rsid w:val="00FF0389"/>
    <w:rsid w:val="00FF0960"/>
    <w:rsid w:val="00FF2537"/>
    <w:rsid w:val="00FF3851"/>
    <w:rsid w:val="00FF54C9"/>
    <w:rsid w:val="00FF67CE"/>
    <w:rsid w:val="00FF6E0D"/>
    <w:rsid w:val="00FF7852"/>
    <w:rsid w:val="00FF79EC"/>
    <w:rsid w:val="01493DE8"/>
    <w:rsid w:val="02F0175E"/>
    <w:rsid w:val="031255A1"/>
    <w:rsid w:val="031F2043"/>
    <w:rsid w:val="036F0FD9"/>
    <w:rsid w:val="04E42D80"/>
    <w:rsid w:val="051554AC"/>
    <w:rsid w:val="06BE7F6A"/>
    <w:rsid w:val="0A382368"/>
    <w:rsid w:val="0BF422BF"/>
    <w:rsid w:val="0BFB189F"/>
    <w:rsid w:val="0C515063"/>
    <w:rsid w:val="0C7476C0"/>
    <w:rsid w:val="0CC47EE3"/>
    <w:rsid w:val="0DB937C0"/>
    <w:rsid w:val="0E002722"/>
    <w:rsid w:val="0E63372C"/>
    <w:rsid w:val="0F6958E3"/>
    <w:rsid w:val="10102881"/>
    <w:rsid w:val="11C24C0D"/>
    <w:rsid w:val="129C720C"/>
    <w:rsid w:val="134753CA"/>
    <w:rsid w:val="140B2166"/>
    <w:rsid w:val="14604446"/>
    <w:rsid w:val="14740CA0"/>
    <w:rsid w:val="15851DC9"/>
    <w:rsid w:val="15CB7B7E"/>
    <w:rsid w:val="16592102"/>
    <w:rsid w:val="17B7074A"/>
    <w:rsid w:val="191A0E8B"/>
    <w:rsid w:val="1B5C578B"/>
    <w:rsid w:val="1BF62DE7"/>
    <w:rsid w:val="1D58132A"/>
    <w:rsid w:val="1E5633AE"/>
    <w:rsid w:val="1F8D23B7"/>
    <w:rsid w:val="1FA8426A"/>
    <w:rsid w:val="20183117"/>
    <w:rsid w:val="20B578F7"/>
    <w:rsid w:val="21BE2170"/>
    <w:rsid w:val="252B1D38"/>
    <w:rsid w:val="279D1605"/>
    <w:rsid w:val="2B215BAD"/>
    <w:rsid w:val="2D6D1917"/>
    <w:rsid w:val="2D742E08"/>
    <w:rsid w:val="305B205D"/>
    <w:rsid w:val="30986E0D"/>
    <w:rsid w:val="31842825"/>
    <w:rsid w:val="320F1351"/>
    <w:rsid w:val="33656452"/>
    <w:rsid w:val="33B757FC"/>
    <w:rsid w:val="33E12879"/>
    <w:rsid w:val="34C30DDC"/>
    <w:rsid w:val="34D66CCD"/>
    <w:rsid w:val="359F5618"/>
    <w:rsid w:val="380D6A42"/>
    <w:rsid w:val="384B253C"/>
    <w:rsid w:val="3930376D"/>
    <w:rsid w:val="3B1D063B"/>
    <w:rsid w:val="3BC24ADC"/>
    <w:rsid w:val="3E9C33B9"/>
    <w:rsid w:val="3F2253B7"/>
    <w:rsid w:val="3F9470ED"/>
    <w:rsid w:val="3F9D1D4A"/>
    <w:rsid w:val="3FAC6431"/>
    <w:rsid w:val="4063410B"/>
    <w:rsid w:val="40B35BCF"/>
    <w:rsid w:val="411E335F"/>
    <w:rsid w:val="42701998"/>
    <w:rsid w:val="42836EE3"/>
    <w:rsid w:val="42B64197"/>
    <w:rsid w:val="43776307"/>
    <w:rsid w:val="459F48A0"/>
    <w:rsid w:val="45C53DA9"/>
    <w:rsid w:val="47395DE1"/>
    <w:rsid w:val="48C35F85"/>
    <w:rsid w:val="499E1EB8"/>
    <w:rsid w:val="4B427C4A"/>
    <w:rsid w:val="4C09484C"/>
    <w:rsid w:val="4D2A6F8A"/>
    <w:rsid w:val="4ED83404"/>
    <w:rsid w:val="4F6D463B"/>
    <w:rsid w:val="50B25872"/>
    <w:rsid w:val="50EE68AA"/>
    <w:rsid w:val="51360251"/>
    <w:rsid w:val="528A2E3F"/>
    <w:rsid w:val="53161CA5"/>
    <w:rsid w:val="53EE3CA2"/>
    <w:rsid w:val="55D727E0"/>
    <w:rsid w:val="57362D58"/>
    <w:rsid w:val="57DD205D"/>
    <w:rsid w:val="586C2A06"/>
    <w:rsid w:val="58A81A34"/>
    <w:rsid w:val="5B8C116D"/>
    <w:rsid w:val="5BB46942"/>
    <w:rsid w:val="5CF300CE"/>
    <w:rsid w:val="5D015BB7"/>
    <w:rsid w:val="5DAA536E"/>
    <w:rsid w:val="5E67106B"/>
    <w:rsid w:val="5EF335BE"/>
    <w:rsid w:val="60F63101"/>
    <w:rsid w:val="63A10BD6"/>
    <w:rsid w:val="64432611"/>
    <w:rsid w:val="65613696"/>
    <w:rsid w:val="67D619EE"/>
    <w:rsid w:val="6881195A"/>
    <w:rsid w:val="69D23717"/>
    <w:rsid w:val="6A9565B5"/>
    <w:rsid w:val="6ACC19C9"/>
    <w:rsid w:val="6EAE5472"/>
    <w:rsid w:val="6F327E52"/>
    <w:rsid w:val="6F3C482C"/>
    <w:rsid w:val="6FA77091"/>
    <w:rsid w:val="6FB62831"/>
    <w:rsid w:val="700C45F0"/>
    <w:rsid w:val="704B67CC"/>
    <w:rsid w:val="705362D1"/>
    <w:rsid w:val="71E116BB"/>
    <w:rsid w:val="72766A51"/>
    <w:rsid w:val="74242F19"/>
    <w:rsid w:val="77040B90"/>
    <w:rsid w:val="771E2A6F"/>
    <w:rsid w:val="778A35E9"/>
    <w:rsid w:val="77F20F30"/>
    <w:rsid w:val="77F42148"/>
    <w:rsid w:val="785F26D6"/>
    <w:rsid w:val="787A0305"/>
    <w:rsid w:val="78E35644"/>
    <w:rsid w:val="7A083D8C"/>
    <w:rsid w:val="7C673675"/>
    <w:rsid w:val="7CD6006E"/>
    <w:rsid w:val="7D1155F5"/>
    <w:rsid w:val="7D641B1E"/>
    <w:rsid w:val="7D700361"/>
    <w:rsid w:val="7ED62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9D4B3F-0FA1-4595-92D8-8BDEF5D2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spacing w:line="340" w:lineRule="exact"/>
      <w:outlineLvl w:val="0"/>
    </w:pPr>
    <w:rPr>
      <w:b/>
      <w:bCs/>
    </w:rPr>
  </w:style>
  <w:style w:type="paragraph" w:styleId="2">
    <w:name w:val="heading 2"/>
    <w:basedOn w:val="a"/>
    <w:next w:val="a"/>
    <w:link w:val="20"/>
    <w:uiPriority w:val="9"/>
    <w:qFormat/>
    <w:pPr>
      <w:keepNext/>
      <w:keepLines/>
      <w:spacing w:before="260" w:after="260" w:line="413" w:lineRule="auto"/>
      <w:outlineLvl w:val="1"/>
    </w:pPr>
    <w:rPr>
      <w:rFonts w:ascii="Arial" w:eastAsia="黑体" w:hAnsi="Arial"/>
      <w:b/>
      <w:bCs/>
      <w:sz w:val="32"/>
      <w:szCs w:val="32"/>
    </w:rPr>
  </w:style>
  <w:style w:type="paragraph" w:styleId="30">
    <w:name w:val="heading 3"/>
    <w:basedOn w:val="a"/>
    <w:next w:val="a"/>
    <w:link w:val="31"/>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numPr>
        <w:ilvl w:val="3"/>
        <w:numId w:val="1"/>
      </w:numPr>
      <w:spacing w:before="280" w:after="290" w:line="372" w:lineRule="auto"/>
      <w:outlineLvl w:val="3"/>
    </w:pPr>
    <w:rPr>
      <w:rFonts w:ascii="宋体" w:eastAsia="黑体" w:hAnsi="Arial"/>
      <w:b/>
      <w:sz w:val="24"/>
      <w:szCs w:val="20"/>
    </w:rPr>
  </w:style>
  <w:style w:type="paragraph" w:styleId="5">
    <w:name w:val="heading 5"/>
    <w:basedOn w:val="a"/>
    <w:next w:val="a1"/>
    <w:link w:val="50"/>
    <w:qFormat/>
    <w:pPr>
      <w:keepNext/>
      <w:keepLines/>
      <w:numPr>
        <w:ilvl w:val="4"/>
        <w:numId w:val="1"/>
      </w:numPr>
      <w:spacing w:before="280" w:after="290" w:line="372" w:lineRule="auto"/>
      <w:outlineLvl w:val="4"/>
    </w:pPr>
    <w:rPr>
      <w:b/>
      <w:sz w:val="28"/>
      <w:szCs w:val="20"/>
    </w:rPr>
  </w:style>
  <w:style w:type="paragraph" w:styleId="6">
    <w:name w:val="heading 6"/>
    <w:basedOn w:val="a"/>
    <w:next w:val="a1"/>
    <w:link w:val="60"/>
    <w:qFormat/>
    <w:pPr>
      <w:keepNext/>
      <w:keepLines/>
      <w:numPr>
        <w:ilvl w:val="5"/>
        <w:numId w:val="1"/>
      </w:numPr>
      <w:spacing w:before="240" w:after="64" w:line="317" w:lineRule="auto"/>
      <w:outlineLvl w:val="5"/>
    </w:pPr>
    <w:rPr>
      <w:rFonts w:ascii="Arial" w:eastAsia="黑体" w:hAnsi="Arial"/>
      <w:b/>
      <w:sz w:val="24"/>
      <w:szCs w:val="20"/>
    </w:rPr>
  </w:style>
  <w:style w:type="paragraph" w:styleId="7">
    <w:name w:val="heading 7"/>
    <w:basedOn w:val="a"/>
    <w:next w:val="a1"/>
    <w:link w:val="70"/>
    <w:qFormat/>
    <w:pPr>
      <w:keepNext/>
      <w:keepLines/>
      <w:numPr>
        <w:ilvl w:val="6"/>
        <w:numId w:val="1"/>
      </w:numPr>
      <w:spacing w:before="240" w:after="64" w:line="317" w:lineRule="auto"/>
      <w:outlineLvl w:val="6"/>
    </w:pPr>
    <w:rPr>
      <w:b/>
      <w:sz w:val="24"/>
      <w:szCs w:val="20"/>
    </w:rPr>
  </w:style>
  <w:style w:type="paragraph" w:styleId="8">
    <w:name w:val="heading 8"/>
    <w:basedOn w:val="a"/>
    <w:next w:val="a1"/>
    <w:link w:val="80"/>
    <w:qFormat/>
    <w:pPr>
      <w:keepNext/>
      <w:keepLines/>
      <w:numPr>
        <w:ilvl w:val="7"/>
        <w:numId w:val="1"/>
      </w:numPr>
      <w:spacing w:before="240" w:after="64" w:line="317" w:lineRule="auto"/>
      <w:outlineLvl w:val="7"/>
    </w:pPr>
    <w:rPr>
      <w:rFonts w:ascii="Arial" w:eastAsia="黑体" w:hAnsi="Arial"/>
      <w:sz w:val="24"/>
      <w:szCs w:val="20"/>
    </w:rPr>
  </w:style>
  <w:style w:type="paragraph" w:styleId="9">
    <w:name w:val="heading 9"/>
    <w:basedOn w:val="a"/>
    <w:next w:val="a1"/>
    <w:link w:val="90"/>
    <w:qFormat/>
    <w:pPr>
      <w:keepNext/>
      <w:keepLines/>
      <w:numPr>
        <w:ilvl w:val="8"/>
        <w:numId w:val="1"/>
      </w:numPr>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lock Text"/>
    <w:basedOn w:val="a"/>
    <w:qFormat/>
    <w:pPr>
      <w:adjustRightInd w:val="0"/>
      <w:ind w:left="420" w:right="33"/>
      <w:jc w:val="left"/>
      <w:textAlignment w:val="baseline"/>
    </w:pPr>
    <w:rPr>
      <w:kern w:val="0"/>
      <w:sz w:val="24"/>
      <w:szCs w:val="20"/>
    </w:rPr>
  </w:style>
  <w:style w:type="paragraph" w:styleId="a1">
    <w:name w:val="Normal Indent"/>
    <w:basedOn w:val="a"/>
    <w:qFormat/>
    <w:pPr>
      <w:ind w:firstLine="420"/>
    </w:pPr>
    <w:rPr>
      <w:szCs w:val="20"/>
    </w:rPr>
  </w:style>
  <w:style w:type="paragraph" w:styleId="71">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5">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6">
    <w:name w:val="caption"/>
    <w:basedOn w:val="a"/>
    <w:next w:val="a"/>
    <w:qFormat/>
    <w:pPr>
      <w:spacing w:before="152" w:after="160"/>
    </w:pPr>
    <w:rPr>
      <w:rFonts w:ascii="Arial" w:eastAsia="黑体" w:hAnsi="Arial" w:cs="Arial"/>
      <w:sz w:val="20"/>
      <w:szCs w:val="20"/>
    </w:rPr>
  </w:style>
  <w:style w:type="paragraph" w:styleId="a7">
    <w:name w:val="Document Map"/>
    <w:basedOn w:val="a"/>
    <w:qFormat/>
    <w:pPr>
      <w:shd w:val="clear" w:color="auto" w:fill="000080"/>
    </w:pPr>
  </w:style>
  <w:style w:type="paragraph" w:styleId="a8">
    <w:name w:val="annotation text"/>
    <w:basedOn w:val="a"/>
    <w:link w:val="a9"/>
    <w:qFormat/>
    <w:pPr>
      <w:jc w:val="left"/>
    </w:pPr>
  </w:style>
  <w:style w:type="paragraph" w:styleId="32">
    <w:name w:val="Body Text 3"/>
    <w:basedOn w:val="a"/>
    <w:link w:val="33"/>
    <w:qFormat/>
    <w:pPr>
      <w:spacing w:line="500" w:lineRule="exact"/>
    </w:pPr>
    <w:rPr>
      <w:b/>
      <w:bCs/>
      <w:sz w:val="24"/>
    </w:rPr>
  </w:style>
  <w:style w:type="paragraph" w:styleId="aa">
    <w:name w:val="Body Text"/>
    <w:basedOn w:val="a"/>
    <w:link w:val="ab"/>
    <w:qFormat/>
    <w:pPr>
      <w:autoSpaceDE w:val="0"/>
      <w:autoSpaceDN w:val="0"/>
      <w:adjustRightInd w:val="0"/>
      <w:spacing w:after="120"/>
      <w:jc w:val="left"/>
    </w:pPr>
    <w:rPr>
      <w:rFonts w:ascii="宋体"/>
      <w:kern w:val="0"/>
      <w:sz w:val="34"/>
      <w:szCs w:val="20"/>
    </w:rPr>
  </w:style>
  <w:style w:type="paragraph" w:styleId="ac">
    <w:name w:val="Body Text Indent"/>
    <w:basedOn w:val="a"/>
    <w:qFormat/>
    <w:pPr>
      <w:spacing w:line="200" w:lineRule="exact"/>
      <w:ind w:firstLine="301"/>
    </w:pPr>
    <w:rPr>
      <w:rFonts w:ascii="宋体" w:hAnsi="Courier New"/>
      <w:spacing w:val="-4"/>
      <w:sz w:val="18"/>
      <w:szCs w:val="20"/>
    </w:rPr>
  </w:style>
  <w:style w:type="paragraph" w:styleId="3">
    <w:name w:val="List Number 3"/>
    <w:basedOn w:val="a"/>
    <w:qFormat/>
    <w:pPr>
      <w:numPr>
        <w:numId w:val="2"/>
      </w:numPr>
      <w:tabs>
        <w:tab w:val="left" w:pos="1200"/>
      </w:tabs>
    </w:pPr>
  </w:style>
  <w:style w:type="paragraph" w:styleId="21">
    <w:name w:val="List 2"/>
    <w:basedOn w:val="a"/>
    <w:qFormat/>
    <w:pPr>
      <w:ind w:leftChars="200" w:left="100" w:hangingChars="200" w:hanging="200"/>
    </w:pPr>
    <w:rPr>
      <w:sz w:val="28"/>
    </w:rPr>
  </w:style>
  <w:style w:type="paragraph" w:styleId="51">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34">
    <w:name w:val="toc 3"/>
    <w:basedOn w:val="a"/>
    <w:next w:val="a"/>
    <w:qFormat/>
    <w:pPr>
      <w:ind w:leftChars="400" w:left="840"/>
    </w:pPr>
  </w:style>
  <w:style w:type="paragraph" w:styleId="ad">
    <w:name w:val="Plain Text"/>
    <w:basedOn w:val="a"/>
    <w:next w:val="4"/>
    <w:link w:val="11"/>
    <w:qFormat/>
    <w:rPr>
      <w:rFonts w:ascii="宋体" w:hAnsi="Courier New"/>
      <w:szCs w:val="20"/>
    </w:rPr>
  </w:style>
  <w:style w:type="paragraph" w:styleId="81">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e">
    <w:name w:val="Date"/>
    <w:basedOn w:val="a"/>
    <w:next w:val="a"/>
    <w:qFormat/>
    <w:pPr>
      <w:ind w:leftChars="2500" w:left="100"/>
    </w:pPr>
    <w:rPr>
      <w:spacing w:val="30"/>
      <w:sz w:val="28"/>
    </w:rPr>
  </w:style>
  <w:style w:type="paragraph" w:styleId="22">
    <w:name w:val="Body Text Indent 2"/>
    <w:basedOn w:val="a"/>
    <w:qFormat/>
    <w:pPr>
      <w:spacing w:line="400" w:lineRule="exact"/>
      <w:ind w:firstLine="480"/>
    </w:pPr>
  </w:style>
  <w:style w:type="paragraph" w:styleId="af">
    <w:name w:val="Balloon Text"/>
    <w:basedOn w:val="a"/>
    <w:qFormat/>
    <w:rPr>
      <w:sz w:val="18"/>
      <w:szCs w:val="18"/>
    </w:rPr>
  </w:style>
  <w:style w:type="paragraph" w:styleId="af0">
    <w:name w:val="footer"/>
    <w:basedOn w:val="a"/>
    <w:link w:val="af1"/>
    <w:qFormat/>
    <w:pPr>
      <w:tabs>
        <w:tab w:val="center" w:pos="4153"/>
        <w:tab w:val="right" w:pos="8306"/>
      </w:tabs>
      <w:snapToGrid w:val="0"/>
      <w:jc w:val="left"/>
    </w:pPr>
    <w:rPr>
      <w:rFonts w:ascii="宋体" w:hAnsi="Courier New"/>
      <w:sz w:val="18"/>
      <w:szCs w:val="20"/>
    </w:rPr>
  </w:style>
  <w:style w:type="paragraph" w:styleId="af2">
    <w:name w:val="header"/>
    <w:basedOn w:val="a"/>
    <w:link w:val="af3"/>
    <w:uiPriority w:val="99"/>
    <w:qFormat/>
    <w:pPr>
      <w:pBdr>
        <w:bottom w:val="single" w:sz="6" w:space="1" w:color="auto"/>
      </w:pBdr>
      <w:tabs>
        <w:tab w:val="center" w:pos="4153"/>
        <w:tab w:val="right" w:pos="8306"/>
      </w:tabs>
      <w:snapToGrid w:val="0"/>
      <w:jc w:val="center"/>
    </w:pPr>
    <w:rPr>
      <w:rFonts w:ascii="宋体" w:hAnsi="Courier New"/>
      <w:sz w:val="18"/>
      <w:szCs w:val="20"/>
    </w:rPr>
  </w:style>
  <w:style w:type="paragraph" w:styleId="12">
    <w:name w:val="toc 1"/>
    <w:basedOn w:val="a"/>
    <w:next w:val="a"/>
    <w:qFormat/>
    <w:pPr>
      <w:tabs>
        <w:tab w:val="right" w:leader="dot" w:pos="8398"/>
      </w:tabs>
      <w:spacing w:before="120" w:after="120"/>
      <w:ind w:firstLineChars="100" w:firstLine="240"/>
      <w:jc w:val="left"/>
    </w:pPr>
    <w:rPr>
      <w:rFonts w:ascii="宋体" w:hAnsi="宋体"/>
      <w:b/>
      <w:bCs/>
      <w:caps/>
      <w:sz w:val="24"/>
    </w:rPr>
  </w:style>
  <w:style w:type="paragraph" w:styleId="41">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4">
    <w:name w:val="List"/>
    <w:basedOn w:val="a"/>
    <w:qFormat/>
    <w:pPr>
      <w:ind w:left="200" w:hangingChars="200" w:hanging="200"/>
    </w:pPr>
    <w:rPr>
      <w:sz w:val="28"/>
    </w:rPr>
  </w:style>
  <w:style w:type="paragraph" w:styleId="61">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2">
    <w:name w:val="List 5"/>
    <w:basedOn w:val="a"/>
    <w:qFormat/>
    <w:pPr>
      <w:ind w:left="2100" w:hanging="420"/>
    </w:pPr>
    <w:rPr>
      <w:szCs w:val="20"/>
    </w:rPr>
  </w:style>
  <w:style w:type="paragraph" w:styleId="35">
    <w:name w:val="Body Text Indent 3"/>
    <w:basedOn w:val="a"/>
    <w:qFormat/>
    <w:pPr>
      <w:spacing w:line="360" w:lineRule="auto"/>
      <w:ind w:firstLineChars="171" w:firstLine="359"/>
    </w:pPr>
  </w:style>
  <w:style w:type="paragraph" w:styleId="23">
    <w:name w:val="toc 2"/>
    <w:basedOn w:val="a"/>
    <w:next w:val="a"/>
    <w:qFormat/>
    <w:pPr>
      <w:ind w:leftChars="200" w:left="420"/>
    </w:pPr>
  </w:style>
  <w:style w:type="paragraph" w:styleId="91">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4">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5">
    <w:name w:val="Normal (Web)"/>
    <w:basedOn w:val="a"/>
    <w:qFormat/>
    <w:rPr>
      <w:sz w:val="24"/>
    </w:rPr>
  </w:style>
  <w:style w:type="paragraph" w:styleId="13">
    <w:name w:val="index 1"/>
    <w:basedOn w:val="a"/>
    <w:next w:val="a"/>
    <w:qFormat/>
    <w:pPr>
      <w:spacing w:line="360" w:lineRule="exact"/>
      <w:ind w:firstLineChars="240" w:firstLine="432"/>
    </w:pPr>
    <w:rPr>
      <w:rFonts w:ascii="宋体" w:hAnsi="宋体"/>
      <w:bCs/>
      <w:sz w:val="18"/>
      <w:szCs w:val="18"/>
    </w:rPr>
  </w:style>
  <w:style w:type="paragraph" w:styleId="af6">
    <w:name w:val="Title"/>
    <w:basedOn w:val="a"/>
    <w:qFormat/>
    <w:pPr>
      <w:spacing w:before="240" w:after="60"/>
      <w:jc w:val="center"/>
      <w:outlineLvl w:val="0"/>
    </w:pPr>
    <w:rPr>
      <w:rFonts w:ascii="Arial" w:hAnsi="Arial"/>
      <w:b/>
      <w:sz w:val="32"/>
      <w:szCs w:val="20"/>
    </w:rPr>
  </w:style>
  <w:style w:type="paragraph" w:styleId="af7">
    <w:name w:val="annotation subject"/>
    <w:basedOn w:val="a8"/>
    <w:next w:val="a8"/>
    <w:qFormat/>
    <w:rPr>
      <w:b/>
      <w:bCs/>
    </w:rPr>
  </w:style>
  <w:style w:type="table" w:styleId="af8">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page number"/>
    <w:basedOn w:val="a2"/>
    <w:qFormat/>
  </w:style>
  <w:style w:type="character" w:styleId="afb">
    <w:name w:val="FollowedHyperlink"/>
    <w:qFormat/>
    <w:rPr>
      <w:color w:val="800080"/>
      <w:u w:val="single"/>
    </w:rPr>
  </w:style>
  <w:style w:type="character" w:styleId="afc">
    <w:name w:val="Hyperlink"/>
    <w:qFormat/>
    <w:rPr>
      <w:color w:val="0000FF"/>
      <w:u w:val="single"/>
    </w:rPr>
  </w:style>
  <w:style w:type="character" w:styleId="HTML0">
    <w:name w:val="HTML Code"/>
    <w:qFormat/>
    <w:rPr>
      <w:rFonts w:ascii="宋体" w:eastAsia="宋体" w:hAnsi="宋体" w:cs="宋体"/>
      <w:sz w:val="24"/>
      <w:szCs w:val="24"/>
    </w:rPr>
  </w:style>
  <w:style w:type="character" w:styleId="afd">
    <w:name w:val="annotation reference"/>
    <w:uiPriority w:val="99"/>
    <w:qFormat/>
    <w:rPr>
      <w:sz w:val="21"/>
    </w:rPr>
  </w:style>
  <w:style w:type="character" w:customStyle="1" w:styleId="style54">
    <w:name w:val="style54"/>
    <w:basedOn w:val="a2"/>
    <w:qFormat/>
  </w:style>
  <w:style w:type="character" w:customStyle="1" w:styleId="1051">
    <w:name w:val="1051"/>
    <w:qFormat/>
    <w:rPr>
      <w:sz w:val="21"/>
      <w:szCs w:val="21"/>
    </w:rPr>
  </w:style>
  <w:style w:type="character" w:customStyle="1" w:styleId="style31">
    <w:name w:val="style31"/>
    <w:qFormat/>
    <w:rPr>
      <w:sz w:val="18"/>
      <w:szCs w:val="18"/>
    </w:rPr>
  </w:style>
  <w:style w:type="character" w:customStyle="1" w:styleId="unnamed21">
    <w:name w:val="unnamed21"/>
    <w:basedOn w:val="a2"/>
    <w:qFormat/>
  </w:style>
  <w:style w:type="character" w:customStyle="1" w:styleId="CharChar2">
    <w:name w:val="Char Char2"/>
    <w:qFormat/>
    <w:rPr>
      <w:rFonts w:ascii="宋体" w:eastAsia="宋体" w:hAnsi="Courier New"/>
      <w:spacing w:val="-4"/>
      <w:kern w:val="2"/>
      <w:sz w:val="18"/>
      <w:lang w:val="en-US" w:eastAsia="zh-CN" w:bidi="ar-SA"/>
    </w:rPr>
  </w:style>
  <w:style w:type="character" w:customStyle="1" w:styleId="style51">
    <w:name w:val="style51"/>
    <w:basedOn w:val="a2"/>
    <w:qFormat/>
  </w:style>
  <w:style w:type="character" w:customStyle="1" w:styleId="CharChar1">
    <w:name w:val="普通文字 Char Char1"/>
    <w:qFormat/>
    <w:rPr>
      <w:rFonts w:ascii="宋体" w:eastAsia="宋体" w:hAnsi="Courier New"/>
      <w:kern w:val="2"/>
      <w:sz w:val="21"/>
      <w:lang w:val="en-US" w:eastAsia="zh-CN" w:bidi="ar-SA"/>
    </w:rPr>
  </w:style>
  <w:style w:type="character" w:customStyle="1" w:styleId="apple-style-span">
    <w:name w:val="apple-style-span"/>
    <w:basedOn w:val="a2"/>
    <w:qFormat/>
  </w:style>
  <w:style w:type="paragraph" w:customStyle="1" w:styleId="CharCharCharCharCharCharChar">
    <w:name w:val="Char Char Char Char Char Char Char"/>
    <w:basedOn w:val="a"/>
    <w:qFormat/>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CharCharChar">
    <w:name w:val="默认段落字体 Char Char Char"/>
    <w:basedOn w:val="a"/>
    <w:qFormat/>
    <w:pPr>
      <w:widowControl/>
    </w:pPr>
    <w:rPr>
      <w:rFonts w:ascii="Arial" w:hAnsi="Arial" w:cs="Arial"/>
      <w:sz w:val="22"/>
      <w:szCs w:val="22"/>
      <w:lang w:eastAsia="en-US"/>
    </w:rPr>
  </w:style>
  <w:style w:type="paragraph" w:customStyle="1" w:styleId="14">
    <w:name w:val="样式1"/>
    <w:basedOn w:val="a"/>
    <w:qFormat/>
  </w:style>
  <w:style w:type="paragraph" w:customStyle="1" w:styleId="Char">
    <w:name w:val="Char"/>
    <w:basedOn w:val="a7"/>
    <w:qFormat/>
    <w:rPr>
      <w:rFonts w:ascii="Tahoma" w:hAnsi="Tahoma"/>
      <w:sz w:val="24"/>
    </w:rPr>
  </w:style>
  <w:style w:type="paragraph" w:customStyle="1" w:styleId="CharCharChar0">
    <w:name w:val="Char Char Char"/>
    <w:basedOn w:val="a"/>
    <w:qFormat/>
    <w:rPr>
      <w:rFonts w:ascii="Tahoma" w:hAnsi="Tahoma"/>
      <w:sz w:val="24"/>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ParaCharCharCharCharCharCharCharCharCharChar">
    <w:name w:val="默认段落字体 Para Char Char Char Char Char Char Char Char Char Char"/>
    <w:basedOn w:val="a"/>
    <w:qFormat/>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36">
    <w:name w:val="样式3"/>
    <w:basedOn w:val="aa"/>
    <w:qFormat/>
    <w:pPr>
      <w:autoSpaceDE/>
      <w:autoSpaceDN/>
      <w:adjustRightInd/>
      <w:spacing w:line="360" w:lineRule="auto"/>
      <w:jc w:val="both"/>
    </w:pPr>
    <w:rPr>
      <w:kern w:val="2"/>
      <w:sz w:val="21"/>
      <w:szCs w:val="24"/>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CharCharCharCharCharChar1Char1">
    <w:name w:val="Char Char Char Char Char Char1 Char1"/>
    <w:basedOn w:val="a"/>
    <w:qFormat/>
    <w:pPr>
      <w:widowControl/>
      <w:spacing w:after="160" w:line="240" w:lineRule="exact"/>
      <w:jc w:val="left"/>
    </w:pPr>
    <w:rPr>
      <w:rFonts w:ascii="Arial" w:eastAsia="楷体_GB2312" w:hAnsi="Arial" w:cs="Verdana"/>
      <w:b/>
      <w:kern w:val="0"/>
      <w:sz w:val="24"/>
      <w:lang w:eastAsia="en-US"/>
    </w:rPr>
  </w:style>
  <w:style w:type="paragraph" w:customStyle="1" w:styleId="15">
    <w:name w:val="列出段落1"/>
    <w:qFormat/>
    <w:pPr>
      <w:ind w:firstLineChars="200" w:firstLine="420"/>
    </w:pPr>
    <w:rPr>
      <w:rFonts w:ascii="Calibri" w:hAnsi="Calibri"/>
    </w:rPr>
  </w:style>
  <w:style w:type="character" w:customStyle="1" w:styleId="apple-converted-space">
    <w:name w:val="apple-converted-space"/>
    <w:basedOn w:val="a2"/>
    <w:qFormat/>
  </w:style>
  <w:style w:type="paragraph" w:customStyle="1" w:styleId="CharCharCharChar">
    <w:name w:val="Char Char Char Char"/>
    <w:basedOn w:val="a"/>
    <w:qFormat/>
    <w:rPr>
      <w:szCs w:val="20"/>
    </w:rPr>
  </w:style>
  <w:style w:type="character" w:customStyle="1" w:styleId="af3">
    <w:name w:val="页眉 字符"/>
    <w:link w:val="af2"/>
    <w:uiPriority w:val="99"/>
    <w:qFormat/>
    <w:rPr>
      <w:rFonts w:ascii="宋体" w:eastAsia="宋体" w:hAnsi="Courier New"/>
      <w:kern w:val="2"/>
      <w:sz w:val="18"/>
      <w:lang w:val="en-US" w:eastAsia="zh-CN" w:bidi="ar-SA"/>
    </w:rPr>
  </w:style>
  <w:style w:type="character" w:customStyle="1" w:styleId="chart1">
    <w:name w:val="chart1"/>
    <w:qFormat/>
    <w:rPr>
      <w:rFonts w:ascii="Verdana" w:hAnsi="Verdana" w:hint="default"/>
      <w:color w:val="000000"/>
      <w:sz w:val="16"/>
      <w:szCs w:val="16"/>
    </w:rPr>
  </w:style>
  <w:style w:type="character" w:customStyle="1" w:styleId="1jiCharChar">
    <w:name w:val="1ji Char Char"/>
    <w:link w:val="1ji"/>
    <w:qFormat/>
    <w:rPr>
      <w:rFonts w:ascii="宋体" w:eastAsia="宋体" w:hAnsi="宋体"/>
      <w:b/>
      <w:bCs/>
      <w:kern w:val="44"/>
      <w:sz w:val="36"/>
      <w:szCs w:val="44"/>
      <w:lang w:val="en-US" w:eastAsia="zh-CN" w:bidi="ar-SA"/>
    </w:rPr>
  </w:style>
  <w:style w:type="paragraph" w:customStyle="1" w:styleId="1ji">
    <w:name w:val="1ji"/>
    <w:basedOn w:val="1"/>
    <w:link w:val="1jiCharChar"/>
    <w:qFormat/>
    <w:pPr>
      <w:widowControl/>
      <w:spacing w:line="240" w:lineRule="auto"/>
      <w:jc w:val="center"/>
    </w:pPr>
    <w:rPr>
      <w:rFonts w:ascii="宋体" w:hAnsi="宋体"/>
      <w:kern w:val="44"/>
      <w:sz w:val="36"/>
      <w:szCs w:val="44"/>
    </w:rPr>
  </w:style>
  <w:style w:type="character" w:customStyle="1" w:styleId="31">
    <w:name w:val="标题 3 字符"/>
    <w:link w:val="30"/>
    <w:uiPriority w:val="9"/>
    <w:qFormat/>
    <w:rPr>
      <w:rFonts w:eastAsia="宋体"/>
      <w:b/>
      <w:bCs/>
      <w:kern w:val="2"/>
      <w:sz w:val="32"/>
      <w:szCs w:val="32"/>
      <w:lang w:val="en-US" w:eastAsia="zh-CN" w:bidi="ar-SA"/>
    </w:rPr>
  </w:style>
  <w:style w:type="character" w:customStyle="1" w:styleId="CharChar3">
    <w:name w:val="Char Char3"/>
    <w:qFormat/>
    <w:rPr>
      <w:rFonts w:eastAsia="宋体"/>
      <w:kern w:val="2"/>
      <w:sz w:val="21"/>
      <w:szCs w:val="24"/>
      <w:lang w:val="en-US" w:eastAsia="zh-CN" w:bidi="ar-SA"/>
    </w:rPr>
  </w:style>
  <w:style w:type="character" w:customStyle="1" w:styleId="1jiCharCharChar">
    <w:name w:val="1ji Char Char Char"/>
    <w:qFormat/>
    <w:rPr>
      <w:rFonts w:ascii="宋体" w:eastAsia="宋体" w:hAnsi="宋体"/>
      <w:b/>
      <w:bCs/>
      <w:kern w:val="44"/>
      <w:sz w:val="36"/>
      <w:szCs w:val="44"/>
      <w:lang w:val="en-US" w:eastAsia="zh-CN" w:bidi="ar-SA"/>
    </w:rPr>
  </w:style>
  <w:style w:type="character" w:customStyle="1" w:styleId="10">
    <w:name w:val="标题 1 字符"/>
    <w:link w:val="1"/>
    <w:qFormat/>
    <w:rPr>
      <w:rFonts w:eastAsia="宋体"/>
      <w:b/>
      <w:bCs/>
      <w:kern w:val="2"/>
      <w:sz w:val="21"/>
      <w:szCs w:val="24"/>
      <w:lang w:val="en-US" w:eastAsia="zh-CN" w:bidi="ar-SA"/>
    </w:rPr>
  </w:style>
  <w:style w:type="character" w:customStyle="1" w:styleId="af1">
    <w:name w:val="页脚 字符"/>
    <w:link w:val="af0"/>
    <w:qFormat/>
    <w:rPr>
      <w:rFonts w:ascii="宋体" w:eastAsia="宋体" w:hAnsi="Courier New"/>
      <w:kern w:val="2"/>
      <w:sz w:val="18"/>
      <w:lang w:val="en-US" w:eastAsia="zh-CN" w:bidi="ar-SA"/>
    </w:rPr>
  </w:style>
  <w:style w:type="character" w:customStyle="1" w:styleId="case31">
    <w:name w:val="case31"/>
    <w:qFormat/>
    <w:rPr>
      <w:rFonts w:hint="default"/>
      <w:sz w:val="21"/>
      <w:szCs w:val="21"/>
    </w:rPr>
  </w:style>
  <w:style w:type="character" w:customStyle="1" w:styleId="20">
    <w:name w:val="标题 2 字符"/>
    <w:link w:val="2"/>
    <w:qFormat/>
    <w:rPr>
      <w:rFonts w:ascii="Arial" w:eastAsia="黑体" w:hAnsi="Arial"/>
      <w:b/>
      <w:bCs/>
      <w:kern w:val="2"/>
      <w:sz w:val="32"/>
      <w:szCs w:val="32"/>
      <w:lang w:val="en-US" w:eastAsia="zh-CN" w:bidi="ar-SA"/>
    </w:rPr>
  </w:style>
  <w:style w:type="character" w:customStyle="1" w:styleId="a9">
    <w:name w:val="批注文字 字符"/>
    <w:link w:val="a8"/>
    <w:qFormat/>
    <w:rPr>
      <w:rFonts w:eastAsia="宋体"/>
      <w:kern w:val="2"/>
      <w:sz w:val="21"/>
      <w:szCs w:val="24"/>
      <w:lang w:val="en-US" w:eastAsia="zh-CN" w:bidi="ar-SA"/>
    </w:rPr>
  </w:style>
  <w:style w:type="character" w:customStyle="1" w:styleId="062">
    <w:name w:val="062"/>
    <w:qFormat/>
    <w:rPr>
      <w:rFonts w:ascii="宋体" w:hAnsi="宋体"/>
      <w:b/>
      <w:bCs/>
      <w:sz w:val="32"/>
    </w:rPr>
  </w:style>
  <w:style w:type="character" w:customStyle="1" w:styleId="33">
    <w:name w:val="正文文本 3 字符"/>
    <w:link w:val="32"/>
    <w:qFormat/>
    <w:rPr>
      <w:rFonts w:eastAsia="宋体"/>
      <w:b/>
      <w:bCs/>
      <w:kern w:val="2"/>
      <w:sz w:val="24"/>
      <w:szCs w:val="24"/>
      <w:lang w:val="en-US" w:eastAsia="zh-CN" w:bidi="ar-SA"/>
    </w:rPr>
  </w:style>
  <w:style w:type="character" w:customStyle="1" w:styleId="YANGCharChar">
    <w:name w:val="正文YANG Char Char"/>
    <w:link w:val="YANG"/>
    <w:qFormat/>
    <w:rPr>
      <w:rFonts w:ascii="Calibri" w:eastAsia="华文中宋" w:hAnsi="Calibri"/>
      <w:kern w:val="2"/>
      <w:sz w:val="24"/>
      <w:szCs w:val="24"/>
      <w:lang w:val="en-US" w:eastAsia="zh-CN" w:bidi="ar-SA"/>
    </w:rPr>
  </w:style>
  <w:style w:type="paragraph" w:customStyle="1" w:styleId="YANG">
    <w:name w:val="正文YANG"/>
    <w:basedOn w:val="a"/>
    <w:link w:val="YANGCharChar"/>
    <w:qFormat/>
    <w:rPr>
      <w:rFonts w:ascii="Calibri" w:eastAsia="华文中宋" w:hAnsi="Calibri"/>
      <w:sz w:val="24"/>
    </w:rPr>
  </w:style>
  <w:style w:type="character" w:customStyle="1" w:styleId="CharChar5">
    <w:name w:val="Char Char5"/>
    <w:qFormat/>
    <w:rPr>
      <w:rFonts w:ascii="仿宋_GB2312" w:eastAsia="仿宋_GB2312"/>
      <w:kern w:val="2"/>
      <w:sz w:val="32"/>
      <w:lang w:val="en-US" w:eastAsia="zh-CN" w:bidi="ar-SA"/>
    </w:rPr>
  </w:style>
  <w:style w:type="character" w:customStyle="1" w:styleId="NormalIndentCharChar">
    <w:name w:val="Normal Indent Char Char"/>
    <w:qFormat/>
    <w:rPr>
      <w:rFonts w:eastAsia="宋体"/>
      <w:kern w:val="2"/>
      <w:sz w:val="21"/>
      <w:lang w:val="en-US" w:eastAsia="zh-CN"/>
    </w:rPr>
  </w:style>
  <w:style w:type="character" w:customStyle="1" w:styleId="body1">
    <w:name w:val="body1"/>
    <w:qFormat/>
    <w:rPr>
      <w:rFonts w:ascii="Verdana" w:hAnsi="Verdana" w:hint="default"/>
      <w:color w:val="000000"/>
      <w:sz w:val="19"/>
      <w:szCs w:val="19"/>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 w:val="20"/>
      <w:szCs w:val="20"/>
      <w:lang w:eastAsia="en-US"/>
    </w:rPr>
  </w:style>
  <w:style w:type="paragraph" w:customStyle="1" w:styleId="-11">
    <w:name w:val="彩色列表 - 强调文字颜色 11"/>
    <w:basedOn w:val="a"/>
    <w:qFormat/>
    <w:pPr>
      <w:ind w:firstLineChars="200" w:firstLine="200"/>
    </w:pPr>
    <w:rPr>
      <w:rFonts w:ascii="Calibri" w:hAnsi="Calibri" w:cs="Calibri"/>
      <w:sz w:val="24"/>
    </w:rPr>
  </w:style>
  <w:style w:type="paragraph" w:customStyle="1" w:styleId="CharCharChar1">
    <w:name w:val="Char Char Char1"/>
    <w:basedOn w:val="a"/>
    <w:qFormat/>
    <w:rPr>
      <w:rFonts w:ascii="Tahoma" w:hAnsi="Tahoma"/>
      <w:sz w:val="24"/>
      <w:szCs w:val="20"/>
    </w:rPr>
  </w:style>
  <w:style w:type="paragraph" w:customStyle="1" w:styleId="afe">
    <w:name w:val="正文段"/>
    <w:basedOn w:val="a"/>
    <w:qFormat/>
    <w:pPr>
      <w:widowControl/>
      <w:snapToGrid w:val="0"/>
      <w:spacing w:afterLines="50"/>
      <w:ind w:firstLineChars="200" w:firstLine="200"/>
    </w:pPr>
    <w:rPr>
      <w:kern w:val="0"/>
      <w:sz w:val="24"/>
      <w:szCs w:val="20"/>
    </w:r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ParaCharCharCharCharCharCharChar">
    <w:name w:val="默认段落字体 Para Char Char Char Char Char Char Char"/>
    <w:basedOn w:val="a"/>
    <w:qFormat/>
    <w:rPr>
      <w:rFonts w:ascii="Tahoma" w:hAnsi="Tahoma" w:cs="Tahoma"/>
      <w:sz w:val="2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ff">
    <w:name w:val="表格"/>
    <w:basedOn w:val="a"/>
    <w:qFormat/>
    <w:pPr>
      <w:spacing w:line="400" w:lineRule="exact"/>
    </w:pPr>
    <w:rPr>
      <w:sz w:val="24"/>
    </w:rPr>
  </w:style>
  <w:style w:type="paragraph" w:customStyle="1" w:styleId="110">
    <w:name w:val="列出段落11"/>
    <w:basedOn w:val="a"/>
    <w:qFormat/>
    <w:pPr>
      <w:ind w:firstLineChars="200" w:firstLine="420"/>
    </w:pPr>
    <w:rPr>
      <w:rFonts w:ascii="Calibri" w:hAnsi="Calibri"/>
      <w:szCs w:val="22"/>
    </w:rPr>
  </w:style>
  <w:style w:type="paragraph" w:customStyle="1" w:styleId="16">
    <w:name w:val="1"/>
    <w:basedOn w:val="a"/>
    <w:next w:val="ad"/>
    <w:qFormat/>
    <w:rPr>
      <w:rFonts w:ascii="宋体" w:hAnsi="Courier New"/>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ParaCharCharCharChar">
    <w:name w:val="默认段落字体 Para Char Char Char Char"/>
    <w:basedOn w:val="a"/>
    <w:qFormat/>
    <w:pPr>
      <w:spacing w:line="560" w:lineRule="exact"/>
      <w:ind w:firstLineChars="200" w:firstLine="640"/>
    </w:pPr>
    <w:rPr>
      <w:rFonts w:eastAsia="仿宋_GB2312"/>
      <w:kern w:val="0"/>
      <w:sz w:val="32"/>
      <w:szCs w:val="32"/>
    </w:rPr>
  </w:style>
  <w:style w:type="paragraph" w:customStyle="1" w:styleId="2ji">
    <w:name w:val="2ji"/>
    <w:basedOn w:val="2"/>
    <w:qFormat/>
    <w:pPr>
      <w:adjustRightInd w:val="0"/>
      <w:spacing w:before="0" w:after="0" w:line="360" w:lineRule="auto"/>
      <w:textAlignment w:val="baseline"/>
    </w:pPr>
    <w:rPr>
      <w:rFonts w:ascii="宋体" w:eastAsia="宋体" w:hAnsi="宋体"/>
      <w:kern w:val="0"/>
      <w:sz w:val="21"/>
      <w:szCs w:val="21"/>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Char1">
    <w:name w:val="Char1"/>
    <w:basedOn w:val="a"/>
    <w:qFormat/>
    <w:rPr>
      <w:szCs w:val="21"/>
    </w:rPr>
  </w:style>
  <w:style w:type="paragraph" w:customStyle="1" w:styleId="Char3">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17">
    <w:name w:val="普通(网站)1"/>
    <w:basedOn w:val="a"/>
    <w:qFormat/>
    <w:pPr>
      <w:widowControl/>
      <w:spacing w:beforeLines="50" w:beforeAutospacing="1" w:afterLines="50" w:afterAutospacing="1"/>
      <w:ind w:firstLineChars="200" w:firstLine="200"/>
      <w:jc w:val="left"/>
    </w:pPr>
    <w:rPr>
      <w:rFonts w:ascii="宋体" w:hAnsi="宋体" w:cs="宋体"/>
      <w:kern w:val="0"/>
      <w:sz w:val="24"/>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CharCharCharCharCharCharChar1">
    <w:name w:val="Char Char Char Char Char Char Char1"/>
    <w:basedOn w:val="a"/>
    <w:qFormat/>
  </w:style>
  <w:style w:type="paragraph" w:customStyle="1" w:styleId="ParaCharCharCharCharCharCharCharCharCharCha1r">
    <w:name w:val="默认段落字体 Para Char Char Char Char Char Char Char Char Char Cha标题1r"/>
    <w:basedOn w:val="a"/>
    <w:qFormat/>
    <w:pPr>
      <w:jc w:val="center"/>
    </w:pPr>
  </w:style>
  <w:style w:type="paragraph" w:customStyle="1" w:styleId="aff0">
    <w:name w:val="样式"/>
    <w:qFormat/>
    <w:pPr>
      <w:widowControl w:val="0"/>
      <w:autoSpaceDE w:val="0"/>
      <w:autoSpaceDN w:val="0"/>
      <w:adjustRightInd w:val="0"/>
    </w:pPr>
    <w:rPr>
      <w:rFonts w:ascii="宋体" w:hAnsi="宋体" w:cs="宋体"/>
      <w:sz w:val="24"/>
      <w:szCs w:val="24"/>
    </w:rPr>
  </w:style>
  <w:style w:type="paragraph" w:customStyle="1" w:styleId="2-2ji">
    <w:name w:val="2-2ji"/>
    <w:basedOn w:val="2"/>
    <w:qFormat/>
    <w:pPr>
      <w:adjustRightInd w:val="0"/>
      <w:spacing w:before="0" w:after="0" w:line="360" w:lineRule="auto"/>
      <w:jc w:val="center"/>
      <w:textAlignment w:val="baseline"/>
    </w:pPr>
    <w:rPr>
      <w:rFonts w:ascii="宋体" w:eastAsia="宋体" w:hAnsi="宋体"/>
      <w:bCs w:val="0"/>
      <w:kern w:val="0"/>
      <w:sz w:val="36"/>
    </w:rPr>
  </w:style>
  <w:style w:type="paragraph" w:customStyle="1" w:styleId="aff1">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25">
    <w:name w:val="样式 首行缩进:  2 字符"/>
    <w:basedOn w:val="a"/>
    <w:qFormat/>
    <w:pPr>
      <w:spacing w:line="400" w:lineRule="exact"/>
      <w:ind w:firstLineChars="200" w:firstLine="200"/>
    </w:pPr>
    <w:rPr>
      <w:rFonts w:cs="宋体"/>
      <w:sz w:val="24"/>
    </w:rPr>
  </w:style>
  <w:style w:type="paragraph" w:customStyle="1" w:styleId="18">
    <w:name w:val="无间隔1"/>
    <w:qFormat/>
    <w:pPr>
      <w:widowControl w:val="0"/>
      <w:jc w:val="both"/>
    </w:pPr>
    <w:rPr>
      <w:rFonts w:ascii="Calibri" w:hAnsi="Calibri"/>
      <w:kern w:val="2"/>
      <w:sz w:val="21"/>
      <w:szCs w:val="22"/>
    </w:rPr>
  </w:style>
  <w:style w:type="paragraph" w:customStyle="1" w:styleId="aff2">
    <w:name w:val="正文首行缩进两字符"/>
    <w:basedOn w:val="a"/>
    <w:qFormat/>
    <w:pPr>
      <w:spacing w:line="360" w:lineRule="auto"/>
      <w:ind w:firstLineChars="200" w:firstLine="200"/>
    </w:pPr>
  </w:style>
  <w:style w:type="character" w:customStyle="1" w:styleId="H1Char">
    <w:name w:val="H1 Char"/>
    <w:qFormat/>
    <w:rPr>
      <w:rFonts w:eastAsia="宋体"/>
      <w:b/>
      <w:bCs/>
      <w:kern w:val="44"/>
      <w:sz w:val="44"/>
      <w:szCs w:val="44"/>
      <w:lang w:val="en-US" w:eastAsia="zh-CN" w:bidi="ar-SA"/>
    </w:rPr>
  </w:style>
  <w:style w:type="character" w:customStyle="1" w:styleId="Char0">
    <w:name w:val="小标题 Char"/>
    <w:qFormat/>
    <w:rPr>
      <w:rFonts w:eastAsia="宋体"/>
      <w:b/>
      <w:bCs/>
      <w:kern w:val="2"/>
      <w:sz w:val="32"/>
      <w:szCs w:val="32"/>
      <w:lang w:val="en-US" w:eastAsia="zh-CN" w:bidi="ar-SA"/>
    </w:rPr>
  </w:style>
  <w:style w:type="character" w:customStyle="1" w:styleId="1jiChar">
    <w:name w:val="1ji Char"/>
    <w:qFormat/>
    <w:rPr>
      <w:rFonts w:ascii="宋体" w:eastAsia="宋体" w:hAnsi="宋体"/>
      <w:b/>
      <w:bCs/>
      <w:kern w:val="44"/>
      <w:sz w:val="36"/>
      <w:szCs w:val="44"/>
      <w:lang w:val="en-US" w:eastAsia="zh-CN" w:bidi="ar-SA"/>
    </w:rPr>
  </w:style>
  <w:style w:type="character" w:customStyle="1" w:styleId="Char10">
    <w:name w:val="正文文字首行缩进 Char1"/>
    <w:qFormat/>
    <w:rPr>
      <w:rFonts w:ascii="仿宋_GB2312" w:eastAsia="仿宋_GB2312"/>
      <w:kern w:val="2"/>
      <w:sz w:val="32"/>
      <w:lang w:val="en-US" w:eastAsia="zh-CN" w:bidi="ar-SA"/>
    </w:rPr>
  </w:style>
  <w:style w:type="character" w:customStyle="1" w:styleId="hChar">
    <w:name w:val="h Char"/>
    <w:qFormat/>
    <w:rPr>
      <w:rFonts w:eastAsia="宋体"/>
      <w:kern w:val="2"/>
      <w:sz w:val="18"/>
      <w:szCs w:val="18"/>
      <w:lang w:val="en-US" w:eastAsia="zh-CN" w:bidi="ar-SA"/>
    </w:rPr>
  </w:style>
  <w:style w:type="character" w:customStyle="1" w:styleId="foChar">
    <w:name w:val="fo Char"/>
    <w:qFormat/>
    <w:rPr>
      <w:rFonts w:eastAsia="宋体"/>
      <w:kern w:val="2"/>
      <w:sz w:val="18"/>
      <w:szCs w:val="18"/>
      <w:lang w:val="en-US" w:eastAsia="zh-CN" w:bidi="ar-SA"/>
    </w:rPr>
  </w:style>
  <w:style w:type="paragraph" w:customStyle="1" w:styleId="Char11">
    <w:name w:val="Char11"/>
    <w:basedOn w:val="a"/>
    <w:qFormat/>
    <w:rPr>
      <w:rFonts w:ascii="仿宋_GB2312" w:eastAsia="仿宋_GB2312"/>
      <w:b/>
      <w:sz w:val="32"/>
      <w:szCs w:val="32"/>
    </w:rPr>
  </w:style>
  <w:style w:type="character" w:customStyle="1" w:styleId="unnamed11">
    <w:name w:val="unnamed11"/>
    <w:qFormat/>
    <w:rPr>
      <w:color w:val="auto"/>
      <w:sz w:val="18"/>
      <w:szCs w:val="18"/>
    </w:rPr>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40">
    <w:name w:val="A4"/>
    <w:qFormat/>
    <w:rPr>
      <w:color w:val="000000"/>
    </w:rPr>
  </w:style>
  <w:style w:type="character" w:customStyle="1" w:styleId="60">
    <w:name w:val="标题 6 字符"/>
    <w:link w:val="6"/>
    <w:qFormat/>
    <w:rPr>
      <w:rFonts w:ascii="Arial" w:eastAsia="黑体" w:hAnsi="Arial"/>
      <w:b/>
      <w:kern w:val="2"/>
      <w:sz w:val="24"/>
    </w:rPr>
  </w:style>
  <w:style w:type="character" w:customStyle="1" w:styleId="Char2">
    <w:name w:val="正文文字首行缩进 Char"/>
    <w:qFormat/>
    <w:rPr>
      <w:rFonts w:ascii="仿宋_GB2312" w:eastAsia="仿宋_GB2312"/>
      <w:kern w:val="2"/>
      <w:sz w:val="32"/>
      <w:lang w:val="en-US" w:eastAsia="zh-CN" w:bidi="ar-SA"/>
    </w:rPr>
  </w:style>
  <w:style w:type="paragraph" w:customStyle="1" w:styleId="26">
    <w:name w:val="列出段落2"/>
    <w:basedOn w:val="a"/>
    <w:qFormat/>
    <w:pPr>
      <w:ind w:firstLineChars="200" w:firstLine="420"/>
    </w:pPr>
    <w:rPr>
      <w:rFonts w:ascii="Calibri" w:hAnsi="Calibri" w:cs="Calibri"/>
      <w:szCs w:val="21"/>
    </w:rPr>
  </w:style>
  <w:style w:type="character" w:customStyle="1" w:styleId="50">
    <w:name w:val="标题 5 字符"/>
    <w:link w:val="5"/>
    <w:qFormat/>
    <w:rPr>
      <w:b/>
      <w:kern w:val="2"/>
      <w:sz w:val="28"/>
    </w:rPr>
  </w:style>
  <w:style w:type="character" w:customStyle="1" w:styleId="Heading2HiddenChar">
    <w:name w:val="Heading 2 Hidden Char"/>
    <w:qFormat/>
    <w:rPr>
      <w:rFonts w:ascii="Arial" w:eastAsia="黑体" w:hAnsi="Arial"/>
      <w:b/>
      <w:bCs/>
      <w:kern w:val="2"/>
      <w:sz w:val="32"/>
      <w:szCs w:val="32"/>
      <w:lang w:val="en-US" w:eastAsia="zh-CN" w:bidi="ar-SA"/>
    </w:rPr>
  </w:style>
  <w:style w:type="character" w:customStyle="1" w:styleId="40">
    <w:name w:val="标题 4 字符"/>
    <w:link w:val="4"/>
    <w:qFormat/>
    <w:rPr>
      <w:rFonts w:ascii="宋体" w:eastAsia="黑体" w:hAnsi="Arial"/>
      <w:b/>
      <w:kern w:val="2"/>
      <w:sz w:val="24"/>
    </w:rPr>
  </w:style>
  <w:style w:type="character" w:customStyle="1" w:styleId="70">
    <w:name w:val="标题 7 字符"/>
    <w:link w:val="7"/>
    <w:qFormat/>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character" w:customStyle="1" w:styleId="ab">
    <w:name w:val="正文文本 字符"/>
    <w:link w:val="aa"/>
    <w:qFormat/>
    <w:rPr>
      <w:rFonts w:ascii="宋体" w:eastAsia="宋体"/>
      <w:sz w:val="34"/>
      <w:lang w:val="en-US" w:eastAsia="zh-CN" w:bidi="ar-SA"/>
    </w:rPr>
  </w:style>
  <w:style w:type="character" w:customStyle="1" w:styleId="18h1">
    <w:name w:val="18h1"/>
    <w:qFormat/>
    <w:rPr>
      <w:color w:val="3B3B3B"/>
    </w:rPr>
  </w:style>
  <w:style w:type="character" w:customStyle="1" w:styleId="aff3">
    <w:name w:val="链接"/>
    <w:qFormat/>
    <w:rPr>
      <w:rFonts w:ascii="Times New Roman" w:eastAsia="宋体"/>
      <w:color w:val="0000FF"/>
      <w:sz w:val="21"/>
      <w:u w:val="single" w:color="0000FF"/>
      <w:vertAlign w:val="baseline"/>
      <w:lang w:val="en-US" w:eastAsia="zh-CN"/>
    </w:rPr>
  </w:style>
  <w:style w:type="character" w:customStyle="1" w:styleId="aff4">
    <w:name w:val="超级链接"/>
    <w:qFormat/>
    <w:rPr>
      <w:rFonts w:ascii="Times New Roman" w:eastAsia="宋体"/>
      <w:color w:val="0000FF"/>
      <w:sz w:val="21"/>
      <w:u w:val="single" w:color="0000FF"/>
      <w:vertAlign w:val="baseline"/>
      <w:lang w:val="en-US" w:eastAsia="zh-CN"/>
    </w:rPr>
  </w:style>
  <w:style w:type="paragraph" w:customStyle="1" w:styleId="19">
    <w:name w:val="目录1"/>
    <w:basedOn w:val="a"/>
    <w:next w:val="a"/>
    <w:qFormat/>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aff5">
    <w:name w:val="目录标题"/>
    <w:basedOn w:val="a"/>
    <w:next w:val="a"/>
    <w:qFormat/>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aff6">
    <w:name w:val="文章总标题"/>
    <w:basedOn w:val="a"/>
    <w:next w:val="aff7"/>
    <w:qFormat/>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aff7">
    <w:name w:val="文章附标题"/>
    <w:basedOn w:val="a"/>
    <w:next w:val="1"/>
    <w:qFormat/>
    <w:pPr>
      <w:widowControl/>
      <w:spacing w:before="187" w:after="175" w:line="374" w:lineRule="atLeast"/>
      <w:jc w:val="center"/>
      <w:textAlignment w:val="baseline"/>
    </w:pPr>
    <w:rPr>
      <w:color w:val="000000"/>
      <w:kern w:val="0"/>
      <w:sz w:val="36"/>
      <w:szCs w:val="20"/>
      <w:u w:color="000000"/>
    </w:rPr>
  </w:style>
  <w:style w:type="paragraph" w:customStyle="1" w:styleId="aff8">
    <w:name w:val="节标题"/>
    <w:basedOn w:val="a"/>
    <w:next w:val="aff9"/>
    <w:qFormat/>
    <w:pPr>
      <w:widowControl/>
      <w:spacing w:line="289" w:lineRule="atLeast"/>
      <w:jc w:val="center"/>
      <w:textAlignment w:val="baseline"/>
    </w:pPr>
    <w:rPr>
      <w:color w:val="000000"/>
      <w:kern w:val="0"/>
      <w:sz w:val="28"/>
      <w:szCs w:val="20"/>
      <w:u w:color="000000"/>
    </w:rPr>
  </w:style>
  <w:style w:type="paragraph" w:customStyle="1" w:styleId="aff9">
    <w:name w:val="小节标题"/>
    <w:basedOn w:val="a"/>
    <w:next w:val="a"/>
    <w:qFormat/>
    <w:pPr>
      <w:widowControl/>
      <w:spacing w:before="175" w:after="102" w:line="351" w:lineRule="atLeast"/>
      <w:textAlignment w:val="baseline"/>
    </w:pPr>
    <w:rPr>
      <w:rFonts w:eastAsia="黑体"/>
      <w:color w:val="000000"/>
      <w:kern w:val="0"/>
      <w:szCs w:val="20"/>
      <w:u w:color="000000"/>
    </w:rPr>
  </w:style>
  <w:style w:type="paragraph" w:customStyle="1" w:styleId="37">
    <w:name w:val="目录3"/>
    <w:basedOn w:val="a"/>
    <w:next w:val="a"/>
    <w:qFormat/>
    <w:pPr>
      <w:widowControl/>
      <w:tabs>
        <w:tab w:val="left" w:leader="dot" w:pos="8503"/>
      </w:tabs>
      <w:spacing w:line="317" w:lineRule="atLeast"/>
      <w:ind w:firstLine="419"/>
      <w:textAlignment w:val="baseline"/>
    </w:pPr>
    <w:rPr>
      <w:color w:val="000000"/>
      <w:kern w:val="0"/>
      <w:szCs w:val="20"/>
      <w:u w:color="000000"/>
    </w:rPr>
  </w:style>
  <w:style w:type="paragraph" w:customStyle="1" w:styleId="27">
    <w:name w:val="目录2"/>
    <w:basedOn w:val="a"/>
    <w:next w:val="a"/>
    <w:qFormat/>
    <w:pPr>
      <w:widowControl/>
      <w:tabs>
        <w:tab w:val="left" w:leader="dot" w:pos="8503"/>
      </w:tabs>
      <w:spacing w:line="317" w:lineRule="atLeast"/>
      <w:ind w:firstLine="209"/>
      <w:textAlignment w:val="baseline"/>
    </w:pPr>
    <w:rPr>
      <w:color w:val="000000"/>
      <w:kern w:val="0"/>
      <w:szCs w:val="20"/>
      <w:u w:color="000000"/>
    </w:rPr>
  </w:style>
  <w:style w:type="paragraph" w:customStyle="1" w:styleId="42">
    <w:name w:val="目录4"/>
    <w:basedOn w:val="a"/>
    <w:next w:val="a"/>
    <w:qFormat/>
    <w:pPr>
      <w:widowControl/>
      <w:tabs>
        <w:tab w:val="left" w:leader="dot" w:pos="8503"/>
      </w:tabs>
      <w:spacing w:line="317" w:lineRule="atLeast"/>
      <w:ind w:firstLine="629"/>
      <w:textAlignment w:val="baseline"/>
    </w:pPr>
    <w:rPr>
      <w:color w:val="000000"/>
      <w:kern w:val="0"/>
      <w:szCs w:val="20"/>
      <w:u w:color="000000"/>
    </w:rPr>
  </w:style>
  <w:style w:type="paragraph" w:customStyle="1" w:styleId="Char20">
    <w:name w:val="Char2"/>
    <w:basedOn w:val="a"/>
    <w:qFormat/>
    <w:pPr>
      <w:widowControl/>
      <w:spacing w:after="160" w:line="240" w:lineRule="exact"/>
      <w:jc w:val="left"/>
    </w:pPr>
    <w:rPr>
      <w:rFonts w:ascii="Verdana" w:hAnsi="Verdana"/>
      <w:kern w:val="0"/>
      <w:szCs w:val="20"/>
      <w:lang w:eastAsia="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28">
    <w:name w:val="样式 标题 2 + (西文) 宋体 非加粗 居中"/>
    <w:basedOn w:val="2"/>
    <w:qFormat/>
    <w:pPr>
      <w:spacing w:line="416" w:lineRule="auto"/>
      <w:jc w:val="center"/>
    </w:pPr>
    <w:rPr>
      <w:rFonts w:ascii="宋体" w:hAnsi="宋体" w:cs="宋体"/>
      <w:b w:val="0"/>
      <w:bCs w:val="0"/>
      <w:spacing w:val="2"/>
      <w:sz w:val="28"/>
      <w:szCs w:val="20"/>
    </w:rPr>
  </w:style>
  <w:style w:type="character" w:customStyle="1" w:styleId="btn-lnk-alignl2">
    <w:name w:val="btn-lnk-alignl2"/>
    <w:qFormat/>
  </w:style>
  <w:style w:type="paragraph" w:customStyle="1" w:styleId="CharCharCharChar1">
    <w:name w:val="Char Char Char Char1"/>
    <w:basedOn w:val="a7"/>
    <w:qFormat/>
    <w:pPr>
      <w:adjustRightInd w:val="0"/>
      <w:snapToGrid w:val="0"/>
      <w:spacing w:line="360" w:lineRule="auto"/>
    </w:pPr>
    <w:rPr>
      <w:rFonts w:ascii="Tahoma" w:hAnsi="Tahoma"/>
      <w:sz w:val="24"/>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affa">
    <w:name w:val="段"/>
    <w:link w:val="Char4"/>
    <w:qFormat/>
    <w:pPr>
      <w:autoSpaceDE w:val="0"/>
      <w:autoSpaceDN w:val="0"/>
      <w:ind w:firstLineChars="200" w:firstLine="200"/>
      <w:jc w:val="both"/>
    </w:pPr>
    <w:rPr>
      <w:rFonts w:ascii="宋体"/>
      <w:sz w:val="21"/>
    </w:rPr>
  </w:style>
  <w:style w:type="character" w:customStyle="1" w:styleId="Char4">
    <w:name w:val="段 Char"/>
    <w:link w:val="affa"/>
    <w:qFormat/>
    <w:locked/>
    <w:rPr>
      <w:rFonts w:ascii="宋体"/>
      <w:sz w:val="21"/>
      <w:lang w:val="en-US" w:eastAsia="zh-CN" w:bidi="ar-SA"/>
    </w:rPr>
  </w:style>
  <w:style w:type="character" w:customStyle="1" w:styleId="d1">
    <w:name w:val="d1"/>
    <w:qFormat/>
    <w:rPr>
      <w:color w:val="000000"/>
      <w:sz w:val="21"/>
      <w:szCs w:val="21"/>
      <w:u w:val="none"/>
    </w:rPr>
  </w:style>
  <w:style w:type="paragraph" w:customStyle="1" w:styleId="xl35">
    <w:name w:val="xl35"/>
    <w:basedOn w:val="a"/>
    <w:qFormat/>
    <w:pPr>
      <w:widowControl/>
      <w:spacing w:before="100" w:beforeAutospacing="1" w:after="100" w:afterAutospacing="1"/>
      <w:jc w:val="right"/>
    </w:pPr>
    <w:rPr>
      <w:rFonts w:ascii="宋体" w:hAnsi="宋体"/>
      <w:kern w:val="0"/>
      <w:sz w:val="24"/>
    </w:rPr>
  </w:style>
  <w:style w:type="paragraph" w:customStyle="1" w:styleId="62">
    <w:name w:val="6"/>
    <w:basedOn w:val="a"/>
    <w:qFormat/>
    <w:rPr>
      <w:rFonts w:ascii="Tahoma" w:hAnsi="Tahoma"/>
      <w:sz w:val="24"/>
      <w:u w:val="single"/>
    </w:rPr>
  </w:style>
  <w:style w:type="paragraph" w:customStyle="1" w:styleId="p0">
    <w:name w:val="p0"/>
    <w:basedOn w:val="a"/>
    <w:qFormat/>
    <w:pPr>
      <w:widowControl/>
    </w:pPr>
    <w:rPr>
      <w:kern w:val="0"/>
      <w:szCs w:val="21"/>
    </w:rPr>
  </w:style>
  <w:style w:type="character" w:customStyle="1" w:styleId="clh15">
    <w:name w:val="c lh15"/>
    <w:basedOn w:val="a2"/>
    <w:qFormat/>
  </w:style>
  <w:style w:type="paragraph" w:customStyle="1" w:styleId="NewNewNew">
    <w:name w:val="正文 New New New"/>
    <w:qFormat/>
    <w:pPr>
      <w:widowControl w:val="0"/>
      <w:jc w:val="both"/>
    </w:pPr>
    <w:rPr>
      <w:kern w:val="2"/>
      <w:sz w:val="21"/>
    </w:rPr>
  </w:style>
  <w:style w:type="paragraph" w:customStyle="1" w:styleId="NewNewNewNewNewNewNewNewNewNewNewNewNewNewNewNewNew">
    <w:name w:val="正文 New New New New New New New New New New New New New New New New New"/>
    <w:qFormat/>
    <w:pPr>
      <w:widowControl w:val="0"/>
      <w:jc w:val="both"/>
    </w:pPr>
    <w:rPr>
      <w:kern w:val="2"/>
      <w:sz w:val="21"/>
    </w:rPr>
  </w:style>
  <w:style w:type="paragraph" w:customStyle="1" w:styleId="pa-4">
    <w:name w:val="pa-4"/>
    <w:basedOn w:val="a"/>
    <w:qFormat/>
    <w:pPr>
      <w:widowControl/>
      <w:spacing w:before="150" w:after="150"/>
      <w:jc w:val="left"/>
    </w:pPr>
    <w:rPr>
      <w:rFonts w:ascii="宋体" w:hAnsi="宋体" w:cs="宋体"/>
      <w:kern w:val="0"/>
      <w:sz w:val="24"/>
    </w:rPr>
  </w:style>
  <w:style w:type="character" w:customStyle="1" w:styleId="ca-1">
    <w:name w:val="ca-1"/>
    <w:basedOn w:val="a2"/>
    <w:qFormat/>
  </w:style>
  <w:style w:type="character" w:customStyle="1" w:styleId="ca-4">
    <w:name w:val="ca-4"/>
    <w:basedOn w:val="a2"/>
    <w:qFormat/>
  </w:style>
  <w:style w:type="character" w:customStyle="1" w:styleId="ca-5">
    <w:name w:val="ca-5"/>
    <w:basedOn w:val="a2"/>
    <w:qFormat/>
  </w:style>
  <w:style w:type="paragraph" w:customStyle="1" w:styleId="1a">
    <w:name w:val="正文缩进1"/>
    <w:basedOn w:val="a"/>
    <w:qFormat/>
    <w:pPr>
      <w:autoSpaceDE w:val="0"/>
      <w:autoSpaceDN w:val="0"/>
      <w:adjustRightInd w:val="0"/>
      <w:spacing w:after="80" w:line="300" w:lineRule="atLeast"/>
      <w:ind w:firstLine="482"/>
      <w:textAlignment w:val="baseline"/>
    </w:pPr>
    <w:rPr>
      <w:rFonts w:ascii="Arial" w:hAnsi="Arial" w:cs="Arial"/>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2">
    <w:name w:val="xl3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kern w:val="0"/>
      <w:sz w:val="20"/>
      <w:szCs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2">
    <w:name w:val="xl42"/>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6">
    <w:name w:val="xl4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7">
    <w:name w:val="xl47"/>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8">
    <w:name w:val="xl48"/>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51">
    <w:name w:val="xl51"/>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52">
    <w:name w:val="xl52"/>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53">
    <w:name w:val="xl5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54">
    <w:name w:val="xl5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55">
    <w:name w:val="xl5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56">
    <w:name w:val="xl5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58">
    <w:name w:val="xl58"/>
    <w:basedOn w:val="a"/>
    <w:qFormat/>
    <w:pPr>
      <w:widowControl/>
      <w:pBdr>
        <w:bottom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67">
    <w:name w:val="xl67"/>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69">
    <w:name w:val="xl69"/>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Cs w:val="21"/>
    </w:rPr>
  </w:style>
  <w:style w:type="paragraph" w:customStyle="1" w:styleId="xl72">
    <w:name w:val="xl7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73">
    <w:name w:val="xl7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74">
    <w:name w:val="xl7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76">
    <w:name w:val="xl76"/>
    <w:basedOn w:val="a"/>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8">
    <w:name w:val="xl78"/>
    <w:basedOn w:val="a"/>
    <w:qFormat/>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79">
    <w:name w:val="xl79"/>
    <w:basedOn w:val="a"/>
    <w:qFormat/>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80">
    <w:name w:val="xl80"/>
    <w:basedOn w:val="a"/>
    <w:qFormat/>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81">
    <w:name w:val="xl8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82">
    <w:name w:val="xl8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83">
    <w:name w:val="xl8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6">
    <w:name w:val="xl86"/>
    <w:basedOn w:val="a"/>
    <w:qFormat/>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cs="宋体"/>
      <w:kern w:val="0"/>
      <w:sz w:val="18"/>
      <w:szCs w:val="18"/>
    </w:rPr>
  </w:style>
  <w:style w:type="paragraph" w:customStyle="1" w:styleId="xl87">
    <w:name w:val="xl87"/>
    <w:basedOn w:val="a"/>
    <w:qFormat/>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88">
    <w:name w:val="xl88"/>
    <w:basedOn w:val="a"/>
    <w:qFormat/>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2CharCharCharChar">
    <w:name w:val="Char Char2 Char Char Char Char"/>
    <w:basedOn w:val="a"/>
    <w:qFormat/>
    <w:rPr>
      <w:rFonts w:ascii="Tahoma" w:hAnsi="Tahoma"/>
      <w:sz w:val="24"/>
      <w:u w:val="single"/>
    </w:rPr>
  </w:style>
  <w:style w:type="paragraph" w:customStyle="1" w:styleId="CharChar1CharChar1">
    <w:name w:val="Char Char1 Char Char1"/>
    <w:basedOn w:val="a"/>
    <w:qFormat/>
    <w:rPr>
      <w:rFonts w:ascii="Tahoma" w:hAnsi="Tahoma"/>
      <w:sz w:val="24"/>
      <w:szCs w:val="20"/>
    </w:rPr>
  </w:style>
  <w:style w:type="paragraph" w:customStyle="1" w:styleId="CharChar13">
    <w:name w:val="Char Char13"/>
    <w:basedOn w:val="a"/>
    <w:qFormat/>
    <w:pPr>
      <w:widowControl/>
      <w:spacing w:after="160" w:line="240" w:lineRule="exact"/>
      <w:jc w:val="left"/>
    </w:pPr>
    <w:rPr>
      <w:rFonts w:ascii="Verdana" w:hAnsi="Verdana"/>
      <w:kern w:val="0"/>
      <w:sz w:val="20"/>
      <w:szCs w:val="20"/>
      <w:lang w:eastAsia="en-US"/>
    </w:rPr>
  </w:style>
  <w:style w:type="paragraph" w:customStyle="1" w:styleId="72">
    <w:name w:val="7"/>
    <w:basedOn w:val="a"/>
    <w:qFormat/>
    <w:rPr>
      <w:rFonts w:ascii="Tahoma" w:hAnsi="Tahoma"/>
      <w:sz w:val="24"/>
      <w:u w:val="single"/>
    </w:rPr>
  </w:style>
  <w:style w:type="paragraph" w:customStyle="1" w:styleId="Style52">
    <w:name w:val="_Style 52"/>
    <w:basedOn w:val="a"/>
    <w:qFormat/>
    <w:pPr>
      <w:widowControl/>
      <w:spacing w:after="160" w:line="240" w:lineRule="exact"/>
      <w:jc w:val="left"/>
    </w:pPr>
  </w:style>
  <w:style w:type="character" w:customStyle="1" w:styleId="11">
    <w:name w:val="纯文本 字符1"/>
    <w:link w:val="ad"/>
    <w:qFormat/>
    <w:rPr>
      <w:rFonts w:ascii="宋体" w:hAnsi="Courier New"/>
      <w:kern w:val="2"/>
      <w:sz w:val="21"/>
    </w:rPr>
  </w:style>
  <w:style w:type="character" w:customStyle="1" w:styleId="Char12">
    <w:name w:val="批注文字 Char1"/>
    <w:uiPriority w:val="99"/>
    <w:qFormat/>
    <w:rPr>
      <w:rFonts w:eastAsia="宋体"/>
      <w:kern w:val="2"/>
      <w:sz w:val="21"/>
      <w:szCs w:val="24"/>
      <w:lang w:val="en-US" w:eastAsia="zh-CN" w:bidi="ar-SA"/>
    </w:rPr>
  </w:style>
  <w:style w:type="paragraph" w:customStyle="1" w:styleId="affb">
    <w:name w:val="大目录"/>
    <w:basedOn w:val="a"/>
    <w:qFormat/>
    <w:pPr>
      <w:spacing w:line="540" w:lineRule="exact"/>
      <w:jc w:val="center"/>
    </w:pPr>
    <w:rPr>
      <w:rFonts w:ascii="宋体" w:hAnsi="宋体" w:cs="Arial"/>
      <w:b/>
      <w:szCs w:val="21"/>
    </w:rPr>
  </w:style>
  <w:style w:type="paragraph" w:customStyle="1" w:styleId="710">
    <w:name w:val="标题 71"/>
    <w:basedOn w:val="a"/>
    <w:uiPriority w:val="1"/>
    <w:qFormat/>
    <w:pPr>
      <w:ind w:left="362"/>
      <w:jc w:val="left"/>
      <w:outlineLvl w:val="7"/>
    </w:pPr>
    <w:rPr>
      <w:rFonts w:ascii="宋体" w:hAnsi="宋体"/>
      <w:kern w:val="0"/>
      <w:sz w:val="20"/>
      <w:szCs w:val="20"/>
      <w:lang w:eastAsia="en-US"/>
    </w:rPr>
  </w:style>
  <w:style w:type="paragraph" w:customStyle="1" w:styleId="410">
    <w:name w:val="标题 41"/>
    <w:basedOn w:val="a"/>
    <w:uiPriority w:val="1"/>
    <w:qFormat/>
    <w:pPr>
      <w:ind w:left="105"/>
      <w:jc w:val="left"/>
      <w:outlineLvl w:val="4"/>
    </w:pPr>
    <w:rPr>
      <w:rFonts w:ascii="宋体" w:hAnsi="宋体"/>
      <w:kern w:val="0"/>
      <w:sz w:val="27"/>
      <w:szCs w:val="27"/>
      <w:lang w:eastAsia="en-US"/>
    </w:rPr>
  </w:style>
  <w:style w:type="paragraph" w:customStyle="1" w:styleId="510">
    <w:name w:val="标题 51"/>
    <w:basedOn w:val="a"/>
    <w:uiPriority w:val="1"/>
    <w:qFormat/>
    <w:pPr>
      <w:ind w:left="734" w:hanging="5"/>
      <w:jc w:val="left"/>
      <w:outlineLvl w:val="5"/>
    </w:pPr>
    <w:rPr>
      <w:rFonts w:ascii="宋体" w:hAnsi="宋体"/>
      <w:kern w:val="0"/>
      <w:sz w:val="23"/>
      <w:szCs w:val="23"/>
      <w:lang w:eastAsia="en-US"/>
    </w:rPr>
  </w:style>
  <w:style w:type="paragraph" w:customStyle="1" w:styleId="Style1">
    <w:name w:val="_Style 1"/>
    <w:basedOn w:val="a"/>
    <w:qFormat/>
    <w:pPr>
      <w:ind w:firstLineChars="200" w:firstLine="420"/>
    </w:pPr>
  </w:style>
  <w:style w:type="character" w:customStyle="1" w:styleId="Char22">
    <w:name w:val="纯文本 Char2"/>
    <w:qFormat/>
    <w:locked/>
    <w:rPr>
      <w:rFonts w:ascii="宋体" w:hAnsi="Courier New"/>
    </w:rPr>
  </w:style>
  <w:style w:type="paragraph" w:customStyle="1" w:styleId="1b">
    <w:name w:val="正文1"/>
    <w:qFormat/>
    <w:pPr>
      <w:jc w:val="both"/>
    </w:pPr>
    <w:rPr>
      <w:rFonts w:ascii="Calibri" w:hAnsi="Calibri" w:cs="宋体"/>
      <w:kern w:val="2"/>
      <w:sz w:val="21"/>
      <w:szCs w:val="21"/>
    </w:rPr>
  </w:style>
  <w:style w:type="paragraph" w:customStyle="1" w:styleId="Normal63">
    <w:name w:val="Normal_63"/>
    <w:basedOn w:val="a"/>
    <w:qFormat/>
    <w:pPr>
      <w:widowControl/>
      <w:spacing w:before="120" w:after="240"/>
    </w:pPr>
    <w:rPr>
      <w:rFonts w:ascii="Calibri" w:hAnsi="Calibri"/>
      <w:kern w:val="0"/>
      <w:sz w:val="22"/>
      <w:szCs w:val="22"/>
    </w:rPr>
  </w:style>
  <w:style w:type="character" w:customStyle="1" w:styleId="100">
    <w:name w:val="10"/>
    <w:basedOn w:val="a2"/>
    <w:qFormat/>
    <w:rPr>
      <w:rFonts w:ascii="Calibri" w:hAnsi="Calibri" w:hint="default"/>
    </w:rPr>
  </w:style>
  <w:style w:type="character" w:customStyle="1" w:styleId="affc">
    <w:name w:val="纯文本 字符"/>
    <w:qFormat/>
    <w:rPr>
      <w:rFonts w:ascii="宋体" w:eastAsia="宋体" w:hAnsi="Courier New" w:cs="Courier New"/>
      <w:szCs w:val="21"/>
    </w:rPr>
  </w:style>
  <w:style w:type="paragraph" w:customStyle="1" w:styleId="affd">
    <w:name w:val="方案正文"/>
    <w:basedOn w:val="a"/>
    <w:link w:val="Char5"/>
    <w:uiPriority w:val="99"/>
    <w:qFormat/>
    <w:pPr>
      <w:spacing w:before="120"/>
      <w:ind w:firstLineChars="177" w:firstLine="425"/>
    </w:pPr>
    <w:rPr>
      <w:rFonts w:ascii="华文细黑" w:eastAsia="华文细黑" w:hAnsi="华文细黑"/>
      <w:szCs w:val="20"/>
    </w:rPr>
  </w:style>
  <w:style w:type="character" w:customStyle="1" w:styleId="Char5">
    <w:name w:val="方案正文 Char"/>
    <w:link w:val="affd"/>
    <w:uiPriority w:val="99"/>
    <w:qFormat/>
    <w:locked/>
    <w:rPr>
      <w:rFonts w:ascii="华文细黑" w:eastAsia="华文细黑" w:hAnsi="华文细黑"/>
      <w:kern w:val="2"/>
      <w:sz w:val="21"/>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ListParagraph40b67d30-6b8b-4697-8f49-97c11e174001">
    <w:name w:val="List Paragraph_40b67d30-6b8b-4697-8f49-97c11e174001"/>
    <w:basedOn w:val="a"/>
    <w:uiPriority w:val="34"/>
    <w:qFormat/>
    <w:pPr>
      <w:ind w:firstLineChars="200" w:firstLine="420"/>
    </w:pPr>
    <w:rPr>
      <w:rFonts w:ascii="Calibri" w:hAnsi="Calibri" w:cs="宋体"/>
      <w:szCs w:val="22"/>
    </w:rPr>
  </w:style>
  <w:style w:type="paragraph" w:styleId="affe">
    <w:name w:val="List Paragraph"/>
    <w:basedOn w:val="a"/>
    <w:uiPriority w:val="99"/>
    <w:qFormat/>
    <w:pPr>
      <w:ind w:firstLineChars="200" w:firstLine="420"/>
    </w:pPr>
  </w:style>
  <w:style w:type="paragraph" w:customStyle="1" w:styleId="1c">
    <w:name w:val="修订1"/>
    <w:hidden/>
    <w:uiPriority w:val="99"/>
    <w:semiHidden/>
    <w:qFormat/>
    <w:rPr>
      <w:kern w:val="2"/>
      <w:sz w:val="21"/>
      <w:szCs w:val="24"/>
    </w:rPr>
  </w:style>
  <w:style w:type="paragraph" w:customStyle="1" w:styleId="Bodytext1">
    <w:name w:val="Body text|1"/>
    <w:basedOn w:val="a"/>
    <w:qFormat/>
    <w:pPr>
      <w:spacing w:line="430" w:lineRule="auto"/>
      <w:ind w:firstLine="400"/>
    </w:pPr>
    <w:rPr>
      <w:rFonts w:ascii="宋体" w:hAnsi="宋体" w:cs="宋体"/>
      <w:sz w:val="26"/>
      <w:szCs w:val="26"/>
      <w:lang w:val="zh-TW" w:eastAsia="zh-TW" w:bidi="zh-TW"/>
    </w:rPr>
  </w:style>
  <w:style w:type="paragraph" w:customStyle="1" w:styleId="t">
    <w:name w:val="正文缩进t"/>
    <w:basedOn w:val="a"/>
    <w:qFormat/>
    <w:pPr>
      <w:ind w:firstLineChars="200" w:firstLine="480"/>
    </w:pPr>
  </w:style>
  <w:style w:type="paragraph" w:customStyle="1" w:styleId="afff">
    <w:name w:val="首行缩进"/>
    <w:basedOn w:val="a"/>
    <w:qFormat/>
    <w:pPr>
      <w:ind w:firstLineChars="200"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067602-D592-48DB-A694-4C268A48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1029</Words>
  <Characters>5866</Characters>
  <Application>Microsoft Office Word</Application>
  <DocSecurity>0</DocSecurity>
  <Lines>48</Lines>
  <Paragraphs>13</Paragraphs>
  <ScaleCrop>false</ScaleCrop>
  <Company>China</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cp:lastPrinted>2019-12-16T00:58:00Z</cp:lastPrinted>
  <dcterms:created xsi:type="dcterms:W3CDTF">2023-04-07T00:47:00Z</dcterms:created>
  <dcterms:modified xsi:type="dcterms:W3CDTF">2023-04-14T03:04:00Z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7089DD5F94B84CB3A496457611DD0D24_13</vt:lpwstr>
  </property>
</Properties>
</file>