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atLeast"/>
        <w:rPr>
          <w:rFonts w:ascii="仿宋" w:hAnsi="仿宋" w:eastAsia="仿宋" w:cs="仿宋"/>
          <w:b/>
          <w:bCs/>
          <w:sz w:val="28"/>
          <w:szCs w:val="28"/>
        </w:rPr>
      </w:pPr>
      <w:r>
        <w:rPr>
          <w:rFonts w:hint="eastAsia" w:ascii="仿宋" w:hAnsi="仿宋" w:eastAsia="仿宋" w:cs="仿宋"/>
          <w:b/>
          <w:bCs/>
          <w:sz w:val="28"/>
          <w:szCs w:val="28"/>
        </w:rPr>
        <w:t>附件</w:t>
      </w:r>
    </w:p>
    <w:p>
      <w:pPr>
        <w:spacing w:line="400" w:lineRule="exact"/>
        <w:rPr>
          <w:rFonts w:ascii="宋体" w:hAnsi="宋体" w:cs="宋体"/>
          <w:b/>
          <w:kern w:val="0"/>
          <w:sz w:val="28"/>
          <w:szCs w:val="28"/>
        </w:rPr>
      </w:pPr>
      <w:r>
        <w:rPr>
          <w:rFonts w:hint="eastAsia"/>
          <w:b/>
          <w:bCs/>
          <w:sz w:val="28"/>
          <w:szCs w:val="28"/>
        </w:rPr>
        <w:t>考试系统</w:t>
      </w:r>
      <w:r>
        <w:rPr>
          <w:rFonts w:hint="eastAsia" w:ascii="宋体" w:hAnsi="宋体" w:cs="宋体"/>
          <w:b/>
          <w:kern w:val="0"/>
          <w:sz w:val="28"/>
          <w:szCs w:val="28"/>
        </w:rPr>
        <w:t>项目清单</w:t>
      </w:r>
    </w:p>
    <w:tbl>
      <w:tblPr>
        <w:tblStyle w:val="1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121"/>
        <w:gridCol w:w="1438"/>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55" w:type="pct"/>
            <w:vAlign w:val="center"/>
          </w:tcPr>
          <w:p>
            <w:pPr>
              <w:spacing w:line="400" w:lineRule="exact"/>
              <w:rPr>
                <w:rFonts w:ascii="宋体" w:hAnsi="宋体"/>
                <w:b/>
                <w:szCs w:val="21"/>
              </w:rPr>
            </w:pPr>
          </w:p>
          <w:p>
            <w:pPr>
              <w:spacing w:line="400" w:lineRule="exact"/>
              <w:rPr>
                <w:rFonts w:ascii="宋体" w:hAnsi="宋体"/>
                <w:b/>
                <w:szCs w:val="21"/>
              </w:rPr>
            </w:pPr>
            <w:r>
              <w:rPr>
                <w:rFonts w:hint="eastAsia" w:ascii="宋体" w:hAnsi="宋体"/>
                <w:b/>
                <w:szCs w:val="21"/>
              </w:rPr>
              <w:t>功能模块</w:t>
            </w:r>
          </w:p>
          <w:p>
            <w:pPr>
              <w:jc w:val="center"/>
              <w:rPr>
                <w:rFonts w:ascii="宋体" w:hAnsi="宋体"/>
                <w:b/>
                <w:szCs w:val="21"/>
              </w:rPr>
            </w:pPr>
            <w:r>
              <w:rPr>
                <w:rFonts w:hint="eastAsia" w:ascii="宋体" w:hAnsi="宋体"/>
                <w:b/>
                <w:szCs w:val="21"/>
              </w:rPr>
              <w:t>名称</w:t>
            </w:r>
          </w:p>
        </w:tc>
        <w:tc>
          <w:tcPr>
            <w:tcW w:w="545" w:type="pct"/>
            <w:vAlign w:val="center"/>
          </w:tcPr>
          <w:p>
            <w:pPr>
              <w:jc w:val="center"/>
              <w:rPr>
                <w:rFonts w:ascii="宋体" w:hAnsi="宋体"/>
                <w:b/>
                <w:szCs w:val="21"/>
              </w:rPr>
            </w:pPr>
            <w:r>
              <w:rPr>
                <w:rFonts w:hint="eastAsia" w:ascii="宋体" w:hAnsi="宋体"/>
                <w:b/>
                <w:szCs w:val="21"/>
              </w:rPr>
              <w:t>功能</w:t>
            </w:r>
          </w:p>
          <w:p>
            <w:pPr>
              <w:jc w:val="center"/>
              <w:rPr>
                <w:rFonts w:ascii="宋体" w:hAnsi="宋体"/>
                <w:b/>
                <w:szCs w:val="21"/>
              </w:rPr>
            </w:pPr>
            <w:r>
              <w:rPr>
                <w:rFonts w:hint="eastAsia" w:ascii="宋体" w:hAnsi="宋体"/>
                <w:b/>
                <w:szCs w:val="21"/>
              </w:rPr>
              <w:t>列表</w:t>
            </w:r>
          </w:p>
        </w:tc>
        <w:tc>
          <w:tcPr>
            <w:tcW w:w="3798" w:type="pct"/>
            <w:gridSpan w:val="2"/>
            <w:vAlign w:val="center"/>
          </w:tcPr>
          <w:p>
            <w:pPr>
              <w:jc w:val="center"/>
              <w:rPr>
                <w:rFonts w:ascii="宋体" w:hAnsi="宋体"/>
                <w:b/>
                <w:szCs w:val="21"/>
              </w:rPr>
            </w:pPr>
            <w:r>
              <w:rPr>
                <w:rFonts w:hint="eastAsia" w:ascii="宋体" w:hAnsi="宋体"/>
                <w:b/>
                <w:szCs w:val="21"/>
              </w:rPr>
              <w:t>具体要求说明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55" w:type="pct"/>
            <w:vAlign w:val="center"/>
          </w:tcPr>
          <w:p>
            <w:pPr>
              <w:jc w:val="center"/>
              <w:rPr>
                <w:rFonts w:ascii="宋体" w:hAnsi="宋体"/>
                <w:b/>
                <w:szCs w:val="21"/>
              </w:rPr>
            </w:pPr>
            <w:r>
              <w:rPr>
                <w:rFonts w:hint="eastAsia" w:ascii="宋体" w:hAnsi="宋体"/>
                <w:b/>
                <w:szCs w:val="21"/>
              </w:rPr>
              <w:t>综合说明</w:t>
            </w:r>
          </w:p>
        </w:tc>
        <w:tc>
          <w:tcPr>
            <w:tcW w:w="545" w:type="pct"/>
            <w:vAlign w:val="center"/>
          </w:tcPr>
          <w:p>
            <w:pPr>
              <w:jc w:val="center"/>
              <w:rPr>
                <w:rFonts w:ascii="宋体" w:hAnsi="宋体"/>
                <w:b/>
                <w:szCs w:val="21"/>
              </w:rPr>
            </w:pPr>
            <w:r>
              <w:rPr>
                <w:rFonts w:hint="eastAsia" w:ascii="宋体" w:hAnsi="宋体"/>
                <w:b/>
                <w:szCs w:val="21"/>
              </w:rPr>
              <w:t>支持平台</w:t>
            </w:r>
          </w:p>
        </w:tc>
        <w:tc>
          <w:tcPr>
            <w:tcW w:w="3798" w:type="pct"/>
            <w:gridSpan w:val="2"/>
            <w:vAlign w:val="center"/>
          </w:tcPr>
          <w:p>
            <w:pPr>
              <w:rPr>
                <w:rFonts w:ascii="宋体" w:hAnsi="宋体"/>
                <w:b/>
                <w:szCs w:val="21"/>
              </w:rPr>
            </w:pPr>
            <w:r>
              <w:rPr>
                <w:rFonts w:hint="eastAsia" w:ascii="仿宋" w:hAnsi="仿宋" w:eastAsia="仿宋" w:cs="仿宋"/>
                <w:sz w:val="24"/>
              </w:rPr>
              <w:t>★</w:t>
            </w:r>
            <w:r>
              <w:rPr>
                <w:rFonts w:hint="eastAsia" w:ascii="宋体" w:hAnsi="宋体"/>
                <w:szCs w:val="21"/>
              </w:rPr>
              <w:t>系统支持PC互联网的电脑端、手机APP端（含Android和IOS）或微信小程序端，数据同步功能，APP端（含Android和IOS）、微信小程序端下载需提供截图并加盖公章，并现场演示演示下载页面。</w:t>
            </w:r>
            <w:r>
              <w:rPr>
                <w:rFonts w:hint="eastAsia" w:ascii="宋体" w:hAnsi="宋体"/>
                <w:color w:val="FF0000"/>
                <w:szCs w:val="21"/>
                <w:highlight w:val="none"/>
              </w:rPr>
              <w:t>本项</w:t>
            </w:r>
            <w:r>
              <w:rPr>
                <w:rFonts w:hint="eastAsia"/>
                <w:color w:val="FF0000"/>
                <w:szCs w:val="21"/>
                <w:highlight w:val="none"/>
              </w:rPr>
              <w:t>需提供软件系统截图并加盖</w:t>
            </w:r>
            <w:r>
              <w:rPr>
                <w:rFonts w:hint="eastAsia"/>
                <w:color w:val="FF0000"/>
                <w:szCs w:val="21"/>
                <w:highlight w:val="none"/>
                <w:lang w:val="en-US" w:eastAsia="zh-CN"/>
              </w:rPr>
              <w:t>参询人</w:t>
            </w:r>
            <w:r>
              <w:rPr>
                <w:rFonts w:hint="eastAsia"/>
                <w:color w:val="FF0000"/>
                <w:szCs w:val="21"/>
                <w:highlight w:val="none"/>
              </w:rPr>
              <w:t>公章</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55" w:type="pct"/>
            <w:vMerge w:val="restart"/>
            <w:vAlign w:val="center"/>
          </w:tcPr>
          <w:p>
            <w:pPr>
              <w:jc w:val="center"/>
              <w:rPr>
                <w:rFonts w:ascii="宋体" w:hAnsi="宋体"/>
                <w:b/>
                <w:szCs w:val="21"/>
              </w:rPr>
            </w:pPr>
            <w:r>
              <w:rPr>
                <w:rFonts w:hint="eastAsia" w:ascii="微软雅黑" w:hAnsi="微软雅黑" w:eastAsia="微软雅黑" w:cs="微软雅黑"/>
                <w:sz w:val="24"/>
              </w:rPr>
              <w:t>▲</w:t>
            </w:r>
            <w:r>
              <w:rPr>
                <w:rFonts w:hint="eastAsia" w:ascii="宋体" w:hAnsi="宋体"/>
                <w:b/>
                <w:szCs w:val="21"/>
              </w:rPr>
              <w:t>题库管理</w:t>
            </w:r>
          </w:p>
          <w:p>
            <w:pPr>
              <w:jc w:val="center"/>
              <w:rPr>
                <w:rFonts w:ascii="宋体" w:hAnsi="宋体"/>
                <w:b/>
                <w:szCs w:val="21"/>
              </w:rPr>
            </w:pPr>
            <w:r>
              <w:rPr>
                <w:rFonts w:hint="eastAsia" w:ascii="宋体" w:hAnsi="宋体"/>
                <w:b/>
                <w:szCs w:val="21"/>
              </w:rPr>
              <w:t>（总题量大于200万道）</w:t>
            </w:r>
          </w:p>
        </w:tc>
        <w:tc>
          <w:tcPr>
            <w:tcW w:w="545" w:type="pct"/>
            <w:vAlign w:val="center"/>
          </w:tcPr>
          <w:p>
            <w:pPr>
              <w:jc w:val="center"/>
              <w:rPr>
                <w:rFonts w:ascii="宋体" w:hAnsi="宋体"/>
                <w:b/>
                <w:szCs w:val="21"/>
              </w:rPr>
            </w:pPr>
            <w:r>
              <w:rPr>
                <w:rFonts w:hint="eastAsia" w:ascii="宋体" w:hAnsi="宋体"/>
                <w:b/>
                <w:szCs w:val="21"/>
              </w:rPr>
              <w:t xml:space="preserve">医师部分 </w:t>
            </w:r>
          </w:p>
        </w:tc>
        <w:tc>
          <w:tcPr>
            <w:tcW w:w="3798" w:type="pct"/>
            <w:gridSpan w:val="2"/>
            <w:vAlign w:val="center"/>
          </w:tcPr>
          <w:p>
            <w:pPr>
              <w:rPr>
                <w:rFonts w:ascii="宋体" w:hAnsi="宋体"/>
                <w:szCs w:val="21"/>
              </w:rPr>
            </w:pPr>
            <w:r>
              <w:rPr>
                <w:rFonts w:hint="eastAsia" w:ascii="宋体" w:hAnsi="宋体"/>
                <w:szCs w:val="21"/>
              </w:rPr>
              <w:t>包含本科教育、执业医师、住培宝典、住培国考、住培出科、住培轮转、住培练习、三基考核、主治医师、副主任医师、主任医师、医学法律、中医学、职称英语、财务管理等题库模块。</w:t>
            </w:r>
            <w:r>
              <w:rPr>
                <w:rFonts w:hint="eastAsia" w:ascii="宋体" w:hAnsi="宋体"/>
                <w:color w:val="FF0000"/>
                <w:szCs w:val="21"/>
                <w:highlight w:val="none"/>
              </w:rPr>
              <w:t>本项</w:t>
            </w:r>
            <w:r>
              <w:rPr>
                <w:rFonts w:hint="eastAsia"/>
                <w:color w:val="FF0000"/>
                <w:szCs w:val="21"/>
                <w:highlight w:val="none"/>
              </w:rPr>
              <w:t>需提供软件系统截图并加盖</w:t>
            </w:r>
            <w:r>
              <w:rPr>
                <w:rFonts w:hint="eastAsia"/>
                <w:color w:val="FF0000"/>
                <w:szCs w:val="21"/>
                <w:highlight w:val="none"/>
                <w:lang w:val="en-US" w:eastAsia="zh-CN"/>
              </w:rPr>
              <w:t>参询人</w:t>
            </w:r>
            <w:r>
              <w:rPr>
                <w:rFonts w:hint="eastAsia"/>
                <w:color w:val="FF0000"/>
                <w:szCs w:val="21"/>
                <w:highlight w:val="none"/>
              </w:rPr>
              <w:t>公章</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护理部分</w:t>
            </w:r>
          </w:p>
        </w:tc>
        <w:tc>
          <w:tcPr>
            <w:tcW w:w="3798" w:type="pct"/>
            <w:gridSpan w:val="2"/>
            <w:vAlign w:val="center"/>
          </w:tcPr>
          <w:p>
            <w:pPr>
              <w:rPr>
                <w:rFonts w:ascii="宋体" w:hAnsi="宋体"/>
                <w:szCs w:val="21"/>
              </w:rPr>
            </w:pPr>
            <w:r>
              <w:rPr>
                <w:rFonts w:hint="eastAsia" w:ascii="宋体" w:hAnsi="宋体"/>
                <w:szCs w:val="21"/>
              </w:rPr>
              <w:t xml:space="preserve">包含本科教育、执业护士、护师、三基考核、主管护师、副主任护师、主任护师、护士法律、中医护理等题库模块。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医技部分</w:t>
            </w:r>
          </w:p>
        </w:tc>
        <w:tc>
          <w:tcPr>
            <w:tcW w:w="3798" w:type="pct"/>
            <w:gridSpan w:val="2"/>
            <w:vAlign w:val="center"/>
          </w:tcPr>
          <w:p>
            <w:pPr>
              <w:rPr>
                <w:rFonts w:ascii="宋体" w:hAnsi="宋体"/>
                <w:szCs w:val="21"/>
              </w:rPr>
            </w:pPr>
            <w:r>
              <w:rPr>
                <w:rFonts w:hint="eastAsia" w:ascii="宋体" w:hAnsi="宋体"/>
                <w:szCs w:val="21"/>
              </w:rPr>
              <w:t>包含医学检验、医学影像、药剂学、诊断学、核医学、理疗、手术室、供应室、营养治疗、血库、医疗器械管理等题库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医院管理部分</w:t>
            </w:r>
          </w:p>
        </w:tc>
        <w:tc>
          <w:tcPr>
            <w:tcW w:w="3798" w:type="pct"/>
            <w:gridSpan w:val="2"/>
            <w:vAlign w:val="center"/>
          </w:tcPr>
          <w:p>
            <w:pPr>
              <w:rPr>
                <w:rFonts w:ascii="宋体" w:hAnsi="宋体"/>
                <w:szCs w:val="21"/>
              </w:rPr>
            </w:pPr>
            <w:r>
              <w:rPr>
                <w:rFonts w:hint="eastAsia" w:ascii="宋体" w:hAnsi="宋体"/>
                <w:szCs w:val="21"/>
              </w:rPr>
              <w:t>包含医院管理基础、药事管理、教学与科研管理、后勤管理与装备管理、HR管理与医院文化、信息化管理、经营管理、质量管理、病案管理、医疗风险与安全管理、医疗管理、护理管理、院感管理、实验室管理等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55" w:type="pct"/>
            <w:vMerge w:val="restart"/>
            <w:vAlign w:val="center"/>
          </w:tcPr>
          <w:p>
            <w:pPr>
              <w:jc w:val="center"/>
              <w:rPr>
                <w:rFonts w:ascii="宋体" w:hAnsi="宋体"/>
                <w:b/>
                <w:szCs w:val="21"/>
              </w:rPr>
            </w:pPr>
          </w:p>
          <w:p>
            <w:pPr>
              <w:jc w:val="center"/>
              <w:rPr>
                <w:rFonts w:ascii="宋体" w:hAnsi="宋体"/>
                <w:b/>
                <w:szCs w:val="21"/>
              </w:rPr>
            </w:pPr>
            <w:r>
              <w:rPr>
                <w:rFonts w:hint="eastAsia" w:ascii="宋体" w:hAnsi="宋体"/>
                <w:b/>
                <w:szCs w:val="21"/>
              </w:rPr>
              <w:t>考试</w:t>
            </w:r>
          </w:p>
          <w:p>
            <w:pPr>
              <w:jc w:val="center"/>
              <w:rPr>
                <w:rFonts w:ascii="宋体" w:hAnsi="宋体"/>
                <w:b/>
                <w:szCs w:val="21"/>
              </w:rPr>
            </w:pPr>
            <w:r>
              <w:rPr>
                <w:rFonts w:hint="eastAsia" w:ascii="宋体" w:hAnsi="宋体"/>
                <w:b/>
                <w:szCs w:val="21"/>
              </w:rPr>
              <w:t>系统</w:t>
            </w:r>
          </w:p>
          <w:p>
            <w:pPr>
              <w:jc w:val="center"/>
              <w:rPr>
                <w:rFonts w:ascii="宋体" w:hAnsi="宋体"/>
                <w:b/>
                <w:szCs w:val="21"/>
              </w:rPr>
            </w:pPr>
            <w:r>
              <w:rPr>
                <w:rFonts w:hint="eastAsia" w:ascii="宋体" w:hAnsi="宋体"/>
                <w:b/>
                <w:szCs w:val="21"/>
              </w:rPr>
              <w:t>模块</w:t>
            </w:r>
          </w:p>
        </w:tc>
        <w:tc>
          <w:tcPr>
            <w:tcW w:w="545" w:type="pct"/>
            <w:vAlign w:val="center"/>
          </w:tcPr>
          <w:p>
            <w:pPr>
              <w:jc w:val="center"/>
              <w:rPr>
                <w:rFonts w:ascii="宋体" w:hAnsi="宋体"/>
                <w:b/>
                <w:szCs w:val="21"/>
              </w:rPr>
            </w:pPr>
            <w:r>
              <w:rPr>
                <w:rFonts w:hint="eastAsia" w:ascii="宋体" w:hAnsi="宋体"/>
                <w:b/>
                <w:szCs w:val="21"/>
              </w:rPr>
              <w:t>日常练习</w:t>
            </w:r>
          </w:p>
        </w:tc>
        <w:tc>
          <w:tcPr>
            <w:tcW w:w="3798" w:type="pct"/>
            <w:gridSpan w:val="2"/>
          </w:tcPr>
          <w:p>
            <w:pPr>
              <w:rPr>
                <w:rFonts w:ascii="宋体" w:hAnsi="宋体"/>
                <w:szCs w:val="21"/>
              </w:rPr>
            </w:pPr>
            <w:r>
              <w:rPr>
                <w:rFonts w:hint="eastAsia" w:ascii="宋体" w:hAnsi="宋体"/>
                <w:szCs w:val="21"/>
              </w:rPr>
              <w:t>系统按科目、章节、题型，对试题进行分类，可以很方便的进行试题的检索、答题、批阅试题，在练习过程中掌握各章节的考试内容。</w:t>
            </w:r>
          </w:p>
          <w:p>
            <w:pPr>
              <w:rPr>
                <w:rFonts w:ascii="宋体" w:hAnsi="宋体"/>
                <w:szCs w:val="21"/>
              </w:rPr>
            </w:pPr>
            <w:r>
              <w:rPr>
                <w:rFonts w:hint="eastAsia" w:ascii="Calibri" w:hAnsi="Calibri"/>
                <w:szCs w:val="21"/>
              </w:rPr>
              <w:t>（1）可通过电脑、手机、平板在线学习各类试题、视频、PPT课件；（2）身份证登录，支持1万以上并发学员学员登录在线学习；（3）按学科、专业提供各类题型的题库，题库包括医/技/护培训考核题库、三基培训考核题库、院感题库等各种题库；（4）题库难度较大的题目有详细答案和解析，每年题库有约5~10%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题集管理</w:t>
            </w:r>
          </w:p>
        </w:tc>
        <w:tc>
          <w:tcPr>
            <w:tcW w:w="3798" w:type="pct"/>
            <w:gridSpan w:val="2"/>
          </w:tcPr>
          <w:p>
            <w:pPr>
              <w:rPr>
                <w:rFonts w:ascii="宋体" w:hAnsi="宋体"/>
                <w:szCs w:val="21"/>
              </w:rPr>
            </w:pPr>
            <w:r>
              <w:rPr>
                <w:rFonts w:hint="eastAsia" w:ascii="仿宋" w:hAnsi="仿宋" w:eastAsia="仿宋" w:cs="仿宋"/>
                <w:sz w:val="24"/>
              </w:rPr>
              <w:t>★</w:t>
            </w:r>
            <w:r>
              <w:rPr>
                <w:rFonts w:hint="eastAsia" w:ascii="微软雅黑" w:hAnsi="微软雅黑" w:eastAsia="微软雅黑" w:cs="微软雅黑"/>
                <w:sz w:val="24"/>
              </w:rPr>
              <w:t>▲</w:t>
            </w:r>
            <w:r>
              <w:rPr>
                <w:rFonts w:hint="eastAsia" w:ascii="Calibri" w:hAnsi="Calibri"/>
                <w:szCs w:val="21"/>
              </w:rPr>
              <w:t>可以从系统中任何一个题库和多个题库中，抽取一定数量的题目形成一个新的题集库，供用户进行集中学习，考试时再从这个题集中发布多套试卷，学生可以随机领取试卷；可以拆分大题库为小题库，达到分阶段学习及考核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在线考试</w:t>
            </w:r>
          </w:p>
        </w:tc>
        <w:tc>
          <w:tcPr>
            <w:tcW w:w="3798" w:type="pct"/>
            <w:gridSpan w:val="2"/>
          </w:tcPr>
          <w:p>
            <w:pPr>
              <w:numPr>
                <w:ilvl w:val="0"/>
                <w:numId w:val="1"/>
              </w:numPr>
              <w:rPr>
                <w:rFonts w:ascii="Calibri" w:hAnsi="Calibri"/>
                <w:szCs w:val="21"/>
              </w:rPr>
            </w:pPr>
            <w:r>
              <w:rPr>
                <w:rFonts w:hint="eastAsia" w:ascii="Calibri" w:hAnsi="Calibri"/>
                <w:szCs w:val="21"/>
              </w:rPr>
              <w:t>支持灵活的自主组卷和安排考试时间和范围，</w:t>
            </w:r>
            <w:r>
              <w:rPr>
                <w:rFonts w:hint="eastAsia" w:ascii="宋体" w:hAnsi="宋体"/>
                <w:szCs w:val="21"/>
              </w:rPr>
              <w:t>设定试卷题型的分值、查看成绩设定、设置可考次数、以及选择是否学员自主加入考试（手机APP扫码）</w:t>
            </w:r>
            <w:r>
              <w:rPr>
                <w:rFonts w:hint="eastAsia" w:ascii="Calibri" w:hAnsi="Calibri"/>
                <w:szCs w:val="21"/>
              </w:rPr>
              <w:t>；</w:t>
            </w:r>
          </w:p>
          <w:p>
            <w:pPr>
              <w:numPr>
                <w:ilvl w:val="0"/>
                <w:numId w:val="1"/>
              </w:numPr>
              <w:rPr>
                <w:rFonts w:ascii="Calibri" w:hAnsi="Calibri"/>
                <w:szCs w:val="21"/>
              </w:rPr>
            </w:pPr>
            <w:r>
              <w:rPr>
                <w:rFonts w:hint="eastAsia" w:ascii="宋体" w:hAnsi="宋体"/>
                <w:szCs w:val="21"/>
              </w:rPr>
              <w:t>系统按照用户选择的科目，试题类型、试题量从试题库中随机抽取试题组成试卷，方便用户进行自我测评，完成考试后的试卷可查看</w:t>
            </w:r>
            <w:r>
              <w:rPr>
                <w:rFonts w:hint="eastAsia" w:ascii="Calibri" w:hAnsi="Calibri"/>
                <w:szCs w:val="21"/>
              </w:rPr>
              <w:t>；</w:t>
            </w:r>
          </w:p>
          <w:p>
            <w:pPr>
              <w:numPr>
                <w:ilvl w:val="0"/>
                <w:numId w:val="1"/>
              </w:numPr>
              <w:rPr>
                <w:rFonts w:ascii="Calibri" w:hAnsi="Calibri"/>
                <w:szCs w:val="21"/>
              </w:rPr>
            </w:pPr>
            <w:r>
              <w:rPr>
                <w:rFonts w:hint="eastAsia" w:ascii="Calibri" w:hAnsi="Calibri"/>
                <w:szCs w:val="21"/>
              </w:rPr>
              <w:t>防舞弊功能；</w:t>
            </w:r>
          </w:p>
          <w:p>
            <w:pPr>
              <w:numPr>
                <w:ilvl w:val="0"/>
                <w:numId w:val="1"/>
              </w:numPr>
              <w:rPr>
                <w:rFonts w:ascii="Calibri" w:hAnsi="Calibri"/>
                <w:szCs w:val="21"/>
              </w:rPr>
            </w:pPr>
            <w:r>
              <w:rPr>
                <w:rFonts w:hint="eastAsia" w:ascii="Calibri" w:hAnsi="Calibri"/>
                <w:szCs w:val="21"/>
              </w:rPr>
              <w:t>同时支持PC端和APP端或小程序端，多端数据统一同步。</w:t>
            </w:r>
          </w:p>
          <w:p>
            <w:pPr>
              <w:numPr>
                <w:ilvl w:val="0"/>
                <w:numId w:val="1"/>
              </w:numPr>
              <w:rPr>
                <w:rFonts w:ascii="Calibri" w:hAnsi="Calibri"/>
                <w:szCs w:val="21"/>
              </w:rPr>
            </w:pPr>
            <w:r>
              <w:rPr>
                <w:rFonts w:hint="eastAsia" w:ascii="Calibri" w:hAnsi="Calibri"/>
                <w:szCs w:val="21"/>
              </w:rPr>
              <w:t>支持与国家公安系统人脸识别库对接的身份认证的人脸识别成功后方可登录系统进入考试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管理中心</w:t>
            </w:r>
          </w:p>
        </w:tc>
        <w:tc>
          <w:tcPr>
            <w:tcW w:w="3798" w:type="pct"/>
            <w:gridSpan w:val="2"/>
          </w:tcPr>
          <w:p>
            <w:pPr>
              <w:rPr>
                <w:rFonts w:ascii="Calibri" w:hAnsi="Calibri"/>
                <w:szCs w:val="21"/>
              </w:rPr>
            </w:pPr>
            <w:r>
              <w:rPr>
                <w:rFonts w:hint="eastAsia" w:ascii="Calibri" w:hAnsi="Calibri"/>
                <w:szCs w:val="21"/>
              </w:rPr>
              <w:t>（1）建立或修改试卷，管理考试时间及范围；</w:t>
            </w:r>
          </w:p>
          <w:p>
            <w:pPr>
              <w:rPr>
                <w:rFonts w:ascii="Calibri" w:hAnsi="Calibri"/>
                <w:szCs w:val="21"/>
              </w:rPr>
            </w:pPr>
            <w:r>
              <w:rPr>
                <w:rFonts w:hint="eastAsia" w:ascii="Calibri" w:hAnsi="Calibri"/>
                <w:szCs w:val="21"/>
              </w:rPr>
              <w:t>（2）根据不同要求设置考试结果的公布形式。</w:t>
            </w:r>
          </w:p>
          <w:p>
            <w:pPr>
              <w:rPr>
                <w:rFonts w:ascii="Calibri" w:hAnsi="Calibri"/>
                <w:szCs w:val="21"/>
              </w:rPr>
            </w:pPr>
            <w:r>
              <w:rPr>
                <w:rFonts w:hint="eastAsia" w:ascii="Calibri" w:hAnsi="Calibri"/>
                <w:szCs w:val="21"/>
              </w:rPr>
              <w:t>（3）学员练习记录自动标识，下次进来可接着上一次的进度进行继续学习</w:t>
            </w:r>
          </w:p>
          <w:p>
            <w:pPr>
              <w:rPr>
                <w:rFonts w:ascii="Calibri" w:hAnsi="Calibri"/>
                <w:szCs w:val="21"/>
              </w:rPr>
            </w:pPr>
            <w:r>
              <w:rPr>
                <w:rFonts w:hint="eastAsia" w:ascii="Calibri" w:hAnsi="Calibri"/>
                <w:szCs w:val="21"/>
              </w:rPr>
              <w:t>（4）</w:t>
            </w:r>
            <w:r>
              <w:rPr>
                <w:rFonts w:ascii="Calibri" w:hAnsi="Calibri"/>
                <w:szCs w:val="21"/>
              </w:rPr>
              <w:t>根据多个条件</w:t>
            </w:r>
            <w:r>
              <w:rPr>
                <w:rFonts w:hint="eastAsia" w:ascii="Calibri" w:hAnsi="Calibri"/>
                <w:szCs w:val="21"/>
              </w:rPr>
              <w:t>进行考试成绩查询统计及导出打印；</w:t>
            </w:r>
          </w:p>
          <w:p>
            <w:pPr>
              <w:rPr>
                <w:rFonts w:ascii="Calibri" w:hAnsi="Calibri"/>
                <w:szCs w:val="21"/>
              </w:rPr>
            </w:pPr>
            <w:r>
              <w:rPr>
                <w:rFonts w:hint="eastAsia" w:ascii="Calibri" w:hAnsi="Calibri"/>
                <w:szCs w:val="21"/>
              </w:rPr>
              <w:t>（5）可系统内分发通知公告。</w:t>
            </w:r>
          </w:p>
          <w:p>
            <w:pPr>
              <w:rPr>
                <w:rFonts w:ascii="Calibri" w:hAnsi="Calibri"/>
                <w:szCs w:val="21"/>
              </w:rPr>
            </w:pPr>
            <w:r>
              <w:rPr>
                <w:rFonts w:hint="eastAsia" w:ascii="Calibri" w:hAnsi="Calibri"/>
                <w:szCs w:val="21"/>
              </w:rPr>
              <w:t>（6）考试过程对当前考试进行管理，可开关考生参与考试资格，或强制考生交卷。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模拟</w:t>
            </w:r>
          </w:p>
          <w:p>
            <w:pPr>
              <w:jc w:val="center"/>
              <w:rPr>
                <w:rFonts w:ascii="宋体" w:hAnsi="宋体"/>
                <w:b/>
                <w:szCs w:val="21"/>
              </w:rPr>
            </w:pPr>
            <w:r>
              <w:rPr>
                <w:rFonts w:hint="eastAsia" w:ascii="宋体" w:hAnsi="宋体"/>
                <w:b/>
                <w:szCs w:val="21"/>
              </w:rPr>
              <w:t>考试</w:t>
            </w:r>
          </w:p>
        </w:tc>
        <w:tc>
          <w:tcPr>
            <w:tcW w:w="3798" w:type="pct"/>
            <w:gridSpan w:val="2"/>
          </w:tcPr>
          <w:p>
            <w:pPr>
              <w:rPr>
                <w:rFonts w:ascii="宋体" w:hAnsi="宋体"/>
                <w:szCs w:val="21"/>
              </w:rPr>
            </w:pPr>
            <w:r>
              <w:rPr>
                <w:rFonts w:hint="eastAsia" w:ascii="宋体" w:hAnsi="宋体"/>
                <w:szCs w:val="21"/>
              </w:rPr>
              <w:t>系统按照用户选择的科目，试题类型、试题量从试题库中随机抽取试题组成试卷，方便用户进行自我测评，完成考试后的试卷可查看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正式考试</w:t>
            </w:r>
          </w:p>
        </w:tc>
        <w:tc>
          <w:tcPr>
            <w:tcW w:w="3798" w:type="pct"/>
            <w:gridSpan w:val="2"/>
          </w:tcPr>
          <w:p>
            <w:pPr>
              <w:rPr>
                <w:rFonts w:ascii="宋体" w:hAnsi="宋体"/>
                <w:szCs w:val="21"/>
              </w:rPr>
            </w:pPr>
            <w:r>
              <w:rPr>
                <w:rFonts w:hint="eastAsia" w:ascii="宋体" w:hAnsi="宋体"/>
                <w:szCs w:val="21"/>
              </w:rPr>
              <w:t>管理员在服务端从指定题库中抽取一定数量的试题组成考试试卷，设置考试时间、指定参加考试的考生后，各考生在指定的考试时间段内，在客户端登录后，即可参加考试；或者管理员将所需考试的试卷生成二维码，考生登录手机APP扫码即可进入考试，不需手动添加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常规</w:t>
            </w:r>
          </w:p>
          <w:p>
            <w:pPr>
              <w:jc w:val="center"/>
              <w:rPr>
                <w:rFonts w:ascii="宋体" w:hAnsi="宋体"/>
                <w:b/>
                <w:szCs w:val="21"/>
              </w:rPr>
            </w:pPr>
            <w:r>
              <w:rPr>
                <w:rFonts w:hint="eastAsia" w:ascii="宋体" w:hAnsi="宋体"/>
                <w:b/>
                <w:szCs w:val="21"/>
              </w:rPr>
              <w:t>管理</w:t>
            </w:r>
          </w:p>
        </w:tc>
        <w:tc>
          <w:tcPr>
            <w:tcW w:w="699" w:type="pct"/>
            <w:vAlign w:val="center"/>
          </w:tcPr>
          <w:p>
            <w:pPr>
              <w:jc w:val="center"/>
              <w:rPr>
                <w:rFonts w:ascii="宋体" w:hAnsi="宋体"/>
                <w:szCs w:val="21"/>
              </w:rPr>
            </w:pPr>
            <w:r>
              <w:rPr>
                <w:rFonts w:hint="eastAsia" w:ascii="宋体" w:hAnsi="宋体"/>
                <w:szCs w:val="21"/>
              </w:rPr>
              <w:t>汇总统计</w:t>
            </w:r>
          </w:p>
        </w:tc>
        <w:tc>
          <w:tcPr>
            <w:tcW w:w="3099" w:type="pct"/>
          </w:tcPr>
          <w:p>
            <w:pPr>
              <w:rPr>
                <w:rFonts w:ascii="宋体" w:hAnsi="宋体"/>
                <w:szCs w:val="21"/>
              </w:rPr>
            </w:pPr>
            <w:r>
              <w:rPr>
                <w:rFonts w:hint="eastAsia" w:ascii="宋体" w:hAnsi="宋体"/>
                <w:szCs w:val="21"/>
              </w:rPr>
              <w:t xml:space="preserve">汇总显示系统考试的次数、参考人数、考试数量统计曲线变化图（可根据时间科室搜索）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55" w:type="pct"/>
            <w:vMerge w:val="continue"/>
            <w:vAlign w:val="center"/>
          </w:tcPr>
          <w:p>
            <w:pPr>
              <w:jc w:val="center"/>
              <w:rPr>
                <w:rFonts w:ascii="宋体" w:hAnsi="宋体"/>
                <w:b/>
                <w:szCs w:val="21"/>
              </w:rPr>
            </w:pPr>
          </w:p>
        </w:tc>
        <w:tc>
          <w:tcPr>
            <w:tcW w:w="545" w:type="pct"/>
            <w:vMerge w:val="restart"/>
            <w:vAlign w:val="center"/>
          </w:tcPr>
          <w:p>
            <w:pPr>
              <w:jc w:val="center"/>
              <w:rPr>
                <w:rFonts w:ascii="宋体" w:hAnsi="宋体"/>
                <w:b/>
                <w:szCs w:val="21"/>
              </w:rPr>
            </w:pPr>
            <w:r>
              <w:rPr>
                <w:rFonts w:hint="eastAsia" w:ascii="宋体" w:hAnsi="宋体"/>
                <w:b/>
                <w:szCs w:val="21"/>
              </w:rPr>
              <w:t>题库</w:t>
            </w:r>
          </w:p>
          <w:p>
            <w:pPr>
              <w:jc w:val="center"/>
              <w:rPr>
                <w:rFonts w:ascii="宋体" w:hAnsi="宋体"/>
                <w:b/>
                <w:szCs w:val="21"/>
              </w:rPr>
            </w:pPr>
            <w:r>
              <w:rPr>
                <w:rFonts w:hint="eastAsia" w:ascii="宋体" w:hAnsi="宋体"/>
                <w:b/>
                <w:szCs w:val="21"/>
              </w:rPr>
              <w:t>管理</w:t>
            </w:r>
          </w:p>
        </w:tc>
        <w:tc>
          <w:tcPr>
            <w:tcW w:w="699" w:type="pct"/>
            <w:vAlign w:val="center"/>
          </w:tcPr>
          <w:p>
            <w:pPr>
              <w:jc w:val="center"/>
              <w:rPr>
                <w:rFonts w:ascii="宋体" w:hAnsi="宋体"/>
                <w:szCs w:val="21"/>
              </w:rPr>
            </w:pPr>
            <w:r>
              <w:rPr>
                <w:rFonts w:hint="eastAsia" w:ascii="宋体" w:hAnsi="宋体"/>
                <w:szCs w:val="21"/>
              </w:rPr>
              <w:t>科目管理</w:t>
            </w:r>
          </w:p>
        </w:tc>
        <w:tc>
          <w:tcPr>
            <w:tcW w:w="3099" w:type="pct"/>
          </w:tcPr>
          <w:p>
            <w:pPr>
              <w:rPr>
                <w:rFonts w:ascii="宋体" w:hAnsi="宋体"/>
                <w:szCs w:val="21"/>
              </w:rPr>
            </w:pPr>
            <w:r>
              <w:rPr>
                <w:rFonts w:hint="eastAsia" w:ascii="宋体" w:hAnsi="宋体"/>
                <w:szCs w:val="21"/>
              </w:rPr>
              <w:t>对题库下的科目进行修改、增加、删除。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szCs w:val="21"/>
              </w:rPr>
            </w:pPr>
            <w:r>
              <w:rPr>
                <w:rFonts w:hint="eastAsia" w:ascii="宋体" w:hAnsi="宋体"/>
                <w:szCs w:val="21"/>
              </w:rPr>
              <w:t>章节管理</w:t>
            </w:r>
          </w:p>
        </w:tc>
        <w:tc>
          <w:tcPr>
            <w:tcW w:w="3099" w:type="pct"/>
          </w:tcPr>
          <w:p>
            <w:pPr>
              <w:rPr>
                <w:rFonts w:ascii="宋体" w:hAnsi="宋体"/>
                <w:szCs w:val="21"/>
              </w:rPr>
            </w:pPr>
            <w:r>
              <w:rPr>
                <w:rFonts w:hint="eastAsia" w:ascii="宋体" w:hAnsi="宋体"/>
                <w:szCs w:val="21"/>
              </w:rPr>
              <w:t>对题库下章节进行修改、增加、删除、排序。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szCs w:val="21"/>
              </w:rPr>
            </w:pPr>
            <w:r>
              <w:rPr>
                <w:rFonts w:hint="eastAsia" w:ascii="宋体" w:hAnsi="宋体"/>
                <w:szCs w:val="21"/>
              </w:rPr>
              <w:t>试题搜索</w:t>
            </w:r>
          </w:p>
        </w:tc>
        <w:tc>
          <w:tcPr>
            <w:tcW w:w="3099" w:type="pct"/>
          </w:tcPr>
          <w:p>
            <w:pPr>
              <w:rPr>
                <w:rFonts w:ascii="宋体" w:hAnsi="宋体"/>
                <w:szCs w:val="21"/>
              </w:rPr>
            </w:pPr>
            <w:r>
              <w:rPr>
                <w:rFonts w:hint="eastAsia" w:ascii="宋体" w:hAnsi="宋体"/>
                <w:szCs w:val="21"/>
              </w:rPr>
              <w:t>可在题库中搜索题干或者题干+答案。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szCs w:val="21"/>
              </w:rPr>
            </w:pPr>
            <w:r>
              <w:rPr>
                <w:rFonts w:hint="eastAsia" w:ascii="宋体" w:hAnsi="宋体"/>
                <w:szCs w:val="21"/>
              </w:rPr>
              <w:t>题型管理</w:t>
            </w:r>
          </w:p>
        </w:tc>
        <w:tc>
          <w:tcPr>
            <w:tcW w:w="3099" w:type="pct"/>
          </w:tcPr>
          <w:p>
            <w:pPr>
              <w:rPr>
                <w:rFonts w:ascii="宋体" w:hAnsi="宋体"/>
                <w:szCs w:val="21"/>
              </w:rPr>
            </w:pPr>
            <w:r>
              <w:rPr>
                <w:rFonts w:hint="eastAsia" w:ascii="宋体" w:hAnsi="宋体"/>
                <w:szCs w:val="21"/>
              </w:rPr>
              <w:t>可对题库中的题型进行添加、修改、删除。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szCs w:val="21"/>
              </w:rPr>
            </w:pPr>
            <w:r>
              <w:rPr>
                <w:rFonts w:hint="eastAsia" w:ascii="宋体" w:hAnsi="宋体"/>
                <w:szCs w:val="21"/>
              </w:rPr>
              <w:t>试题管理</w:t>
            </w:r>
          </w:p>
        </w:tc>
        <w:tc>
          <w:tcPr>
            <w:tcW w:w="3099" w:type="pct"/>
          </w:tcPr>
          <w:p>
            <w:pPr>
              <w:rPr>
                <w:rFonts w:ascii="宋体" w:hAnsi="宋体"/>
                <w:szCs w:val="21"/>
              </w:rPr>
            </w:pPr>
            <w:r>
              <w:rPr>
                <w:rFonts w:hint="eastAsia" w:ascii="宋体" w:hAnsi="宋体"/>
                <w:szCs w:val="21"/>
              </w:rPr>
              <w:t>对题库中的每到试题进行修改、删除、添加。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szCs w:val="21"/>
              </w:rPr>
            </w:pPr>
            <w:r>
              <w:rPr>
                <w:rFonts w:hint="eastAsia" w:ascii="宋体" w:hAnsi="宋体"/>
                <w:szCs w:val="21"/>
              </w:rPr>
              <w:t>试题纠正</w:t>
            </w:r>
          </w:p>
        </w:tc>
        <w:tc>
          <w:tcPr>
            <w:tcW w:w="3099" w:type="pct"/>
          </w:tcPr>
          <w:p>
            <w:pPr>
              <w:rPr>
                <w:rFonts w:ascii="宋体" w:hAnsi="宋体"/>
                <w:szCs w:val="21"/>
              </w:rPr>
            </w:pPr>
            <w:r>
              <w:rPr>
                <w:rFonts w:hint="eastAsia" w:ascii="宋体" w:hAnsi="宋体"/>
                <w:szCs w:val="21"/>
              </w:rPr>
              <w:t>题库中的试题进行错误编辑、修改、删除。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szCs w:val="21"/>
              </w:rPr>
            </w:pPr>
            <w:r>
              <w:rPr>
                <w:rFonts w:hint="eastAsia" w:ascii="宋体" w:hAnsi="宋体"/>
                <w:szCs w:val="21"/>
              </w:rPr>
              <w:t>试题路径</w:t>
            </w:r>
          </w:p>
        </w:tc>
        <w:tc>
          <w:tcPr>
            <w:tcW w:w="3099" w:type="pct"/>
          </w:tcPr>
          <w:p>
            <w:pPr>
              <w:rPr>
                <w:rFonts w:ascii="宋体" w:hAnsi="宋体"/>
                <w:szCs w:val="21"/>
              </w:rPr>
            </w:pPr>
            <w:r>
              <w:rPr>
                <w:rFonts w:hint="eastAsia" w:ascii="宋体" w:hAnsi="宋体"/>
                <w:szCs w:val="21"/>
              </w:rPr>
              <w:t>根据所需调整试题放置的路径，也可进行编辑、修改、删除。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5" w:type="pct"/>
            <w:vMerge w:val="continue"/>
            <w:vAlign w:val="center"/>
          </w:tcPr>
          <w:p>
            <w:pPr>
              <w:jc w:val="center"/>
              <w:rPr>
                <w:rFonts w:ascii="宋体" w:hAnsi="宋体"/>
                <w:b/>
                <w:szCs w:val="21"/>
              </w:rPr>
            </w:pPr>
          </w:p>
        </w:tc>
        <w:tc>
          <w:tcPr>
            <w:tcW w:w="545" w:type="pct"/>
            <w:vMerge w:val="restart"/>
            <w:vAlign w:val="center"/>
          </w:tcPr>
          <w:p>
            <w:pPr>
              <w:jc w:val="center"/>
              <w:rPr>
                <w:rFonts w:ascii="宋体" w:hAnsi="宋体"/>
                <w:b/>
                <w:szCs w:val="21"/>
              </w:rPr>
            </w:pPr>
            <w:r>
              <w:rPr>
                <w:rFonts w:hint="eastAsia" w:ascii="宋体" w:hAnsi="宋体"/>
                <w:b/>
                <w:szCs w:val="21"/>
              </w:rPr>
              <w:t>指定</w:t>
            </w:r>
          </w:p>
          <w:p>
            <w:pPr>
              <w:jc w:val="center"/>
              <w:rPr>
                <w:rFonts w:ascii="宋体" w:hAnsi="宋体"/>
                <w:b/>
                <w:szCs w:val="21"/>
              </w:rPr>
            </w:pPr>
            <w:r>
              <w:rPr>
                <w:rFonts w:hint="eastAsia" w:ascii="宋体" w:hAnsi="宋体"/>
                <w:b/>
                <w:szCs w:val="21"/>
              </w:rPr>
              <w:t>考试</w:t>
            </w:r>
          </w:p>
        </w:tc>
        <w:tc>
          <w:tcPr>
            <w:tcW w:w="699" w:type="pct"/>
            <w:vAlign w:val="center"/>
          </w:tcPr>
          <w:p>
            <w:pPr>
              <w:jc w:val="center"/>
              <w:rPr>
                <w:rFonts w:ascii="宋体" w:hAnsi="宋体"/>
                <w:szCs w:val="21"/>
              </w:rPr>
            </w:pPr>
            <w:r>
              <w:rPr>
                <w:rFonts w:hint="eastAsia" w:ascii="宋体" w:hAnsi="宋体"/>
                <w:szCs w:val="21"/>
              </w:rPr>
              <w:t>试卷添加</w:t>
            </w:r>
          </w:p>
        </w:tc>
        <w:tc>
          <w:tcPr>
            <w:tcW w:w="3099" w:type="pct"/>
          </w:tcPr>
          <w:p>
            <w:pPr>
              <w:rPr>
                <w:rFonts w:ascii="宋体" w:hAnsi="宋体"/>
                <w:szCs w:val="21"/>
              </w:rPr>
            </w:pPr>
            <w:r>
              <w:rPr>
                <w:rFonts w:hint="eastAsia" w:ascii="宋体" w:hAnsi="宋体"/>
                <w:szCs w:val="21"/>
              </w:rPr>
              <w:t>添加试卷名称、使用科室及使用范围抽取试题，并设定试卷题型的分值、更改答题顺序、查看成绩设定、设置可考次数、以及选择是否学员自主加入考试（手机APP扫码）。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color w:val="000000"/>
                <w:szCs w:val="21"/>
              </w:rPr>
            </w:pPr>
            <w:r>
              <w:rPr>
                <w:rFonts w:hint="eastAsia" w:ascii="宋体" w:hAnsi="宋体"/>
                <w:color w:val="000000"/>
                <w:szCs w:val="21"/>
              </w:rPr>
              <w:t>在线编辑</w:t>
            </w:r>
          </w:p>
        </w:tc>
        <w:tc>
          <w:tcPr>
            <w:tcW w:w="3099" w:type="pct"/>
            <w:vAlign w:val="center"/>
          </w:tcPr>
          <w:p>
            <w:pPr>
              <w:rPr>
                <w:rFonts w:ascii="宋体" w:hAnsi="宋体"/>
                <w:color w:val="000000"/>
                <w:szCs w:val="21"/>
              </w:rPr>
            </w:pPr>
            <w:r>
              <w:rPr>
                <w:rFonts w:hint="eastAsia" w:ascii="宋体" w:hAnsi="宋体"/>
                <w:color w:val="000000"/>
                <w:szCs w:val="21"/>
              </w:rPr>
              <w:t>可以按照出题者意愿，在线编辑己抽好的试卷中的任何一道试题后再进行电脑在线考试，且本次修改的试题不影响系统原始题库。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color w:val="000000"/>
                <w:szCs w:val="21"/>
              </w:rPr>
            </w:pPr>
            <w:r>
              <w:rPr>
                <w:rFonts w:hint="eastAsia" w:ascii="宋体" w:hAnsi="宋体"/>
                <w:color w:val="000000"/>
                <w:szCs w:val="21"/>
              </w:rPr>
              <w:t>试卷管理</w:t>
            </w:r>
          </w:p>
        </w:tc>
        <w:tc>
          <w:tcPr>
            <w:tcW w:w="3099" w:type="pct"/>
          </w:tcPr>
          <w:p>
            <w:pPr>
              <w:rPr>
                <w:rFonts w:ascii="宋体" w:hAnsi="宋体"/>
                <w:color w:val="000000"/>
                <w:szCs w:val="21"/>
              </w:rPr>
            </w:pPr>
            <w:r>
              <w:rPr>
                <w:rFonts w:hint="eastAsia" w:ascii="宋体" w:hAnsi="宋体"/>
                <w:color w:val="000000"/>
                <w:szCs w:val="21"/>
              </w:rPr>
              <w:t>对设定好的试卷进行启用或锁定状态，修改试卷基础参数，试卷统计，试题管理，也可导出pdf文件或打印试卷。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color w:val="000000"/>
                <w:szCs w:val="21"/>
              </w:rPr>
            </w:pPr>
            <w:r>
              <w:rPr>
                <w:rFonts w:hint="eastAsia" w:ascii="宋体" w:hAnsi="宋体"/>
                <w:color w:val="000000"/>
                <w:szCs w:val="21"/>
              </w:rPr>
              <w:t>成绩查看</w:t>
            </w:r>
          </w:p>
        </w:tc>
        <w:tc>
          <w:tcPr>
            <w:tcW w:w="3099" w:type="pct"/>
            <w:vAlign w:val="center"/>
          </w:tcPr>
          <w:p>
            <w:pPr>
              <w:rPr>
                <w:rFonts w:ascii="宋体" w:hAnsi="宋体"/>
                <w:color w:val="000000"/>
                <w:szCs w:val="21"/>
              </w:rPr>
            </w:pPr>
            <w:r>
              <w:rPr>
                <w:rFonts w:hint="eastAsia" w:ascii="宋体" w:hAnsi="宋体"/>
                <w:color w:val="000000"/>
                <w:szCs w:val="21"/>
              </w:rPr>
              <w:t>成绩统计分析后可生成多维度图形报表，并可以导出到本地；考生也可导出打印。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color w:val="000000"/>
                <w:szCs w:val="21"/>
              </w:rPr>
            </w:pPr>
            <w:r>
              <w:rPr>
                <w:rFonts w:hint="eastAsia" w:ascii="宋体" w:hAnsi="宋体"/>
                <w:color w:val="000000"/>
                <w:szCs w:val="21"/>
              </w:rPr>
              <w:t>考生统计</w:t>
            </w:r>
          </w:p>
        </w:tc>
        <w:tc>
          <w:tcPr>
            <w:tcW w:w="3099" w:type="pct"/>
            <w:vAlign w:val="center"/>
          </w:tcPr>
          <w:p>
            <w:pPr>
              <w:rPr>
                <w:rFonts w:ascii="宋体" w:hAnsi="宋体"/>
                <w:color w:val="000000"/>
                <w:szCs w:val="21"/>
              </w:rPr>
            </w:pPr>
            <w:r>
              <w:rPr>
                <w:rFonts w:hint="eastAsia" w:ascii="宋体" w:hAnsi="宋体"/>
                <w:color w:val="000000"/>
                <w:szCs w:val="21"/>
              </w:rPr>
              <w:t>统计考生考试的的考试名称、时间、得分、试卷平均分、及格率、是否及格、是否考试。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5" w:type="pct"/>
            <w:vMerge w:val="continue"/>
            <w:vAlign w:val="center"/>
          </w:tcPr>
          <w:p>
            <w:pPr>
              <w:jc w:val="center"/>
              <w:rPr>
                <w:rFonts w:ascii="宋体" w:hAnsi="宋体"/>
                <w:b/>
                <w:szCs w:val="21"/>
              </w:rPr>
            </w:pPr>
          </w:p>
        </w:tc>
        <w:tc>
          <w:tcPr>
            <w:tcW w:w="545" w:type="pct"/>
            <w:vMerge w:val="restart"/>
            <w:vAlign w:val="center"/>
          </w:tcPr>
          <w:p>
            <w:pPr>
              <w:jc w:val="center"/>
              <w:rPr>
                <w:rFonts w:ascii="宋体" w:hAnsi="宋体"/>
                <w:b/>
                <w:szCs w:val="21"/>
              </w:rPr>
            </w:pPr>
            <w:r>
              <w:rPr>
                <w:rFonts w:hint="eastAsia" w:ascii="宋体" w:hAnsi="宋体"/>
                <w:b/>
                <w:szCs w:val="21"/>
              </w:rPr>
              <w:t>随机</w:t>
            </w:r>
          </w:p>
          <w:p>
            <w:pPr>
              <w:jc w:val="center"/>
              <w:rPr>
                <w:rFonts w:ascii="宋体" w:hAnsi="宋体"/>
                <w:b/>
                <w:szCs w:val="21"/>
              </w:rPr>
            </w:pPr>
            <w:r>
              <w:rPr>
                <w:rFonts w:hint="eastAsia" w:ascii="宋体" w:hAnsi="宋体"/>
                <w:b/>
                <w:szCs w:val="21"/>
              </w:rPr>
              <w:t>考试</w:t>
            </w:r>
          </w:p>
        </w:tc>
        <w:tc>
          <w:tcPr>
            <w:tcW w:w="699" w:type="pct"/>
            <w:vAlign w:val="center"/>
          </w:tcPr>
          <w:p>
            <w:pPr>
              <w:jc w:val="center"/>
              <w:rPr>
                <w:rFonts w:ascii="宋体" w:hAnsi="宋体"/>
                <w:szCs w:val="21"/>
              </w:rPr>
            </w:pPr>
            <w:r>
              <w:rPr>
                <w:rFonts w:hint="eastAsia" w:ascii="宋体" w:hAnsi="宋体"/>
                <w:szCs w:val="21"/>
              </w:rPr>
              <w:t>试卷添加</w:t>
            </w:r>
          </w:p>
        </w:tc>
        <w:tc>
          <w:tcPr>
            <w:tcW w:w="3099" w:type="pct"/>
          </w:tcPr>
          <w:p>
            <w:pPr>
              <w:rPr>
                <w:rFonts w:ascii="宋体" w:hAnsi="宋体"/>
                <w:szCs w:val="21"/>
              </w:rPr>
            </w:pPr>
            <w:r>
              <w:rPr>
                <w:rFonts w:hint="eastAsia" w:ascii="宋体" w:hAnsi="宋体"/>
                <w:szCs w:val="21"/>
              </w:rPr>
              <w:t xml:space="preserve">添加试卷名称、使用科室及使用范围抽取试题，并设定试卷题型的分值、查看成绩设定、设置可考次数、以及选择是否学员自主加入考试（手机APP扫码）。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jc w:val="center"/>
              <w:rPr>
                <w:rFonts w:ascii="宋体" w:hAnsi="宋体"/>
                <w:szCs w:val="21"/>
              </w:rPr>
            </w:pPr>
            <w:r>
              <w:rPr>
                <w:rFonts w:hint="eastAsia" w:ascii="宋体" w:hAnsi="宋体"/>
                <w:szCs w:val="21"/>
              </w:rPr>
              <w:t>试卷管理</w:t>
            </w:r>
          </w:p>
        </w:tc>
        <w:tc>
          <w:tcPr>
            <w:tcW w:w="3099" w:type="pct"/>
          </w:tcPr>
          <w:p>
            <w:pPr>
              <w:rPr>
                <w:rFonts w:ascii="宋体" w:hAnsi="宋体"/>
                <w:szCs w:val="21"/>
              </w:rPr>
            </w:pPr>
            <w:r>
              <w:rPr>
                <w:rFonts w:hint="eastAsia" w:ascii="宋体" w:hAnsi="宋体"/>
                <w:color w:val="000000"/>
                <w:szCs w:val="21"/>
              </w:rPr>
              <w:t>对设定好的试卷进行启用或锁定状态，修改试卷基础参数，试卷统计，试题管理。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55" w:type="pct"/>
            <w:vMerge w:val="restart"/>
            <w:vAlign w:val="center"/>
          </w:tcPr>
          <w:p>
            <w:pPr>
              <w:jc w:val="center"/>
              <w:rPr>
                <w:rFonts w:ascii="宋体" w:hAnsi="宋体"/>
                <w:b/>
                <w:szCs w:val="21"/>
              </w:rPr>
            </w:pPr>
          </w:p>
        </w:tc>
        <w:tc>
          <w:tcPr>
            <w:tcW w:w="545" w:type="pct"/>
            <w:vMerge w:val="restart"/>
            <w:vAlign w:val="center"/>
          </w:tcPr>
          <w:p>
            <w:pPr>
              <w:jc w:val="center"/>
              <w:rPr>
                <w:rFonts w:ascii="宋体" w:hAnsi="宋体"/>
                <w:b/>
                <w:szCs w:val="21"/>
              </w:rPr>
            </w:pPr>
            <w:r>
              <w:rPr>
                <w:rFonts w:hint="eastAsia" w:ascii="宋体" w:hAnsi="宋体"/>
                <w:b/>
                <w:szCs w:val="21"/>
              </w:rPr>
              <w:t>防作弊功能</w:t>
            </w:r>
          </w:p>
        </w:tc>
        <w:tc>
          <w:tcPr>
            <w:tcW w:w="699" w:type="pct"/>
            <w:vAlign w:val="center"/>
          </w:tcPr>
          <w:p>
            <w:pPr>
              <w:tabs>
                <w:tab w:val="left" w:pos="295"/>
              </w:tabs>
              <w:jc w:val="center"/>
              <w:rPr>
                <w:rFonts w:ascii="宋体" w:hAnsi="宋体"/>
                <w:szCs w:val="21"/>
              </w:rPr>
            </w:pPr>
            <w:r>
              <w:rPr>
                <w:rFonts w:hint="eastAsia" w:ascii="宋体" w:hAnsi="宋体"/>
                <w:szCs w:val="21"/>
              </w:rPr>
              <w:t>电脑端防弊</w:t>
            </w:r>
          </w:p>
        </w:tc>
        <w:tc>
          <w:tcPr>
            <w:tcW w:w="3099" w:type="pct"/>
          </w:tcPr>
          <w:p>
            <w:pPr>
              <w:rPr>
                <w:rFonts w:ascii="宋体" w:hAnsi="宋体"/>
                <w:color w:val="000000"/>
                <w:szCs w:val="21"/>
              </w:rPr>
            </w:pPr>
            <w:r>
              <w:rPr>
                <w:rFonts w:hint="eastAsia" w:ascii="宋体" w:hAnsi="宋体"/>
                <w:color w:val="000000"/>
                <w:szCs w:val="21"/>
              </w:rPr>
              <w:t>可设置电脑端全屏显示 ，退出全屏则为违规一次，后台可设置违规次数。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55" w:type="pct"/>
            <w:vMerge w:val="continue"/>
            <w:vAlign w:val="center"/>
          </w:tcPr>
          <w:p>
            <w:pPr>
              <w:jc w:val="center"/>
              <w:rPr>
                <w:rFonts w:ascii="宋体" w:hAnsi="宋体"/>
                <w:b/>
                <w:szCs w:val="21"/>
              </w:rPr>
            </w:pPr>
          </w:p>
        </w:tc>
        <w:tc>
          <w:tcPr>
            <w:tcW w:w="545" w:type="pct"/>
            <w:vMerge w:val="continue"/>
            <w:vAlign w:val="center"/>
          </w:tcPr>
          <w:p>
            <w:pPr>
              <w:jc w:val="center"/>
              <w:rPr>
                <w:rFonts w:ascii="宋体" w:hAnsi="宋体"/>
                <w:b/>
                <w:szCs w:val="21"/>
              </w:rPr>
            </w:pPr>
          </w:p>
        </w:tc>
        <w:tc>
          <w:tcPr>
            <w:tcW w:w="699" w:type="pct"/>
            <w:vAlign w:val="center"/>
          </w:tcPr>
          <w:p>
            <w:pPr>
              <w:tabs>
                <w:tab w:val="left" w:pos="295"/>
              </w:tabs>
              <w:jc w:val="center"/>
              <w:rPr>
                <w:rFonts w:ascii="宋体" w:hAnsi="宋体"/>
                <w:szCs w:val="21"/>
              </w:rPr>
            </w:pPr>
            <w:r>
              <w:rPr>
                <w:rFonts w:hint="eastAsia" w:ascii="宋体" w:hAnsi="宋体"/>
                <w:szCs w:val="21"/>
              </w:rPr>
              <w:t>APP防作弊</w:t>
            </w:r>
          </w:p>
        </w:tc>
        <w:tc>
          <w:tcPr>
            <w:tcW w:w="3099" w:type="pct"/>
          </w:tcPr>
          <w:p>
            <w:pPr>
              <w:rPr>
                <w:rFonts w:ascii="宋体" w:hAnsi="宋体"/>
                <w:color w:val="000000"/>
                <w:szCs w:val="21"/>
              </w:rPr>
            </w:pPr>
            <w:r>
              <w:rPr>
                <w:rFonts w:hint="eastAsia" w:ascii="宋体" w:hAnsi="宋体"/>
                <w:color w:val="000000"/>
                <w:szCs w:val="21"/>
              </w:rPr>
              <w:t>可监测app考试退出次数与退出时间，后台可以自定义app考试退出的次数 与时间。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问卷调查</w:t>
            </w:r>
          </w:p>
        </w:tc>
        <w:tc>
          <w:tcPr>
            <w:tcW w:w="699" w:type="pct"/>
            <w:vAlign w:val="center"/>
          </w:tcPr>
          <w:p>
            <w:pPr>
              <w:tabs>
                <w:tab w:val="left" w:pos="295"/>
              </w:tabs>
              <w:jc w:val="center"/>
              <w:rPr>
                <w:rFonts w:ascii="宋体" w:hAnsi="宋体"/>
                <w:szCs w:val="21"/>
              </w:rPr>
            </w:pPr>
            <w:r>
              <w:rPr>
                <w:rFonts w:hint="eastAsia" w:ascii="宋体" w:hAnsi="宋体"/>
                <w:szCs w:val="21"/>
              </w:rPr>
              <w:t>问卷调查</w:t>
            </w:r>
          </w:p>
        </w:tc>
        <w:tc>
          <w:tcPr>
            <w:tcW w:w="3099" w:type="pct"/>
          </w:tcPr>
          <w:p>
            <w:pPr>
              <w:rPr>
                <w:rFonts w:ascii="宋体" w:hAnsi="宋体"/>
                <w:color w:val="000000"/>
                <w:szCs w:val="21"/>
              </w:rPr>
            </w:pPr>
            <w:r>
              <w:rPr>
                <w:rFonts w:hint="eastAsia" w:ascii="宋体" w:hAnsi="宋体"/>
                <w:color w:val="000000"/>
                <w:szCs w:val="21"/>
              </w:rPr>
              <w:t>可以添加问卷功能，设置问卷试题，统计并导出问卷完成情况 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5" w:type="pct"/>
            <w:vAlign w:val="center"/>
          </w:tcPr>
          <w:p>
            <w:pPr>
              <w:jc w:val="center"/>
              <w:rPr>
                <w:rFonts w:ascii="宋体" w:hAnsi="宋体"/>
                <w:b/>
                <w:szCs w:val="21"/>
              </w:rPr>
            </w:pPr>
          </w:p>
        </w:tc>
        <w:tc>
          <w:tcPr>
            <w:tcW w:w="545" w:type="pct"/>
            <w:vAlign w:val="center"/>
          </w:tcPr>
          <w:p>
            <w:pPr>
              <w:rPr>
                <w:rFonts w:ascii="宋体" w:hAnsi="宋体"/>
                <w:b/>
                <w:szCs w:val="21"/>
              </w:rPr>
            </w:pPr>
            <w:r>
              <w:rPr>
                <w:rFonts w:hint="eastAsia" w:ascii="宋体" w:hAnsi="宋体"/>
                <w:b/>
                <w:szCs w:val="21"/>
              </w:rPr>
              <w:t>在线用户</w:t>
            </w:r>
          </w:p>
        </w:tc>
        <w:tc>
          <w:tcPr>
            <w:tcW w:w="699" w:type="pct"/>
            <w:vAlign w:val="center"/>
          </w:tcPr>
          <w:p>
            <w:pPr>
              <w:tabs>
                <w:tab w:val="left" w:pos="295"/>
              </w:tabs>
              <w:jc w:val="center"/>
              <w:rPr>
                <w:rFonts w:ascii="宋体" w:hAnsi="宋体"/>
                <w:szCs w:val="21"/>
              </w:rPr>
            </w:pPr>
            <w:r>
              <w:rPr>
                <w:rFonts w:hint="eastAsia" w:ascii="宋体" w:hAnsi="宋体"/>
                <w:szCs w:val="21"/>
              </w:rPr>
              <w:t>在线用户</w:t>
            </w:r>
          </w:p>
        </w:tc>
        <w:tc>
          <w:tcPr>
            <w:tcW w:w="3099" w:type="pct"/>
          </w:tcPr>
          <w:p>
            <w:pPr>
              <w:rPr>
                <w:rFonts w:ascii="宋体" w:hAnsi="宋体"/>
                <w:color w:val="000000"/>
                <w:szCs w:val="21"/>
              </w:rPr>
            </w:pPr>
            <w:r>
              <w:rPr>
                <w:rFonts w:hint="eastAsia" w:ascii="宋体" w:hAnsi="宋体"/>
                <w:color w:val="000000"/>
                <w:szCs w:val="21"/>
              </w:rPr>
              <w:t>查看系统app、电脑、微信小程序实时在线人数与状态。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55" w:type="pct"/>
            <w:vMerge w:val="restart"/>
            <w:vAlign w:val="center"/>
          </w:tcPr>
          <w:p>
            <w:pPr>
              <w:jc w:val="center"/>
              <w:rPr>
                <w:rFonts w:ascii="宋体" w:hAnsi="宋体"/>
                <w:b/>
                <w:szCs w:val="21"/>
              </w:rPr>
            </w:pPr>
            <w:r>
              <w:rPr>
                <w:rFonts w:hint="eastAsia" w:ascii="宋体" w:hAnsi="宋体"/>
                <w:b/>
                <w:szCs w:val="21"/>
              </w:rPr>
              <w:t>课程管理</w:t>
            </w:r>
          </w:p>
          <w:p>
            <w:pPr>
              <w:jc w:val="center"/>
              <w:rPr>
                <w:rFonts w:ascii="宋体" w:hAnsi="宋体"/>
                <w:b/>
                <w:szCs w:val="21"/>
              </w:rPr>
            </w:pPr>
            <w:r>
              <w:rPr>
                <w:rFonts w:hint="eastAsia" w:ascii="宋体" w:hAnsi="宋体"/>
                <w:b/>
                <w:szCs w:val="21"/>
              </w:rPr>
              <w:t>（总课程300部以上）</w:t>
            </w:r>
          </w:p>
        </w:tc>
        <w:tc>
          <w:tcPr>
            <w:tcW w:w="545" w:type="pct"/>
            <w:vAlign w:val="center"/>
          </w:tcPr>
          <w:p>
            <w:pPr>
              <w:jc w:val="center"/>
              <w:rPr>
                <w:rFonts w:ascii="宋体" w:hAnsi="宋体"/>
                <w:b/>
                <w:szCs w:val="21"/>
              </w:rPr>
            </w:pPr>
            <w:r>
              <w:rPr>
                <w:rFonts w:hint="eastAsia" w:ascii="宋体" w:hAnsi="宋体"/>
                <w:b/>
                <w:szCs w:val="21"/>
              </w:rPr>
              <w:t xml:space="preserve">课程 </w:t>
            </w:r>
          </w:p>
        </w:tc>
        <w:tc>
          <w:tcPr>
            <w:tcW w:w="3798" w:type="pct"/>
            <w:gridSpan w:val="2"/>
            <w:vAlign w:val="center"/>
          </w:tcPr>
          <w:p>
            <w:pPr>
              <w:rPr>
                <w:rFonts w:ascii="宋体" w:hAnsi="宋体"/>
                <w:b/>
                <w:szCs w:val="21"/>
              </w:rPr>
            </w:pPr>
            <w:r>
              <w:rPr>
                <w:rFonts w:hint="eastAsia"/>
                <w:szCs w:val="21"/>
              </w:rPr>
              <w:t>住院医师（护士）通过加入课程。通过观看学习视频，文档等来完成任务以获取相对应的学分。</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课件资源</w:t>
            </w:r>
          </w:p>
        </w:tc>
        <w:tc>
          <w:tcPr>
            <w:tcW w:w="3798" w:type="pct"/>
            <w:gridSpan w:val="2"/>
            <w:vAlign w:val="center"/>
          </w:tcPr>
          <w:p>
            <w:pPr>
              <w:rPr>
                <w:szCs w:val="21"/>
              </w:rPr>
            </w:pPr>
            <w:r>
              <w:rPr>
                <w:rFonts w:hint="eastAsia"/>
                <w:szCs w:val="21"/>
              </w:rPr>
              <w:t>包含至少500部高清医学视频课件资源，至少包含新冠肺炎相关的视频教学课件30部及国家相关新冠肺炎的政策指南文件，所有视频操作课件不少于100个学时。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任务</w:t>
            </w:r>
          </w:p>
        </w:tc>
        <w:tc>
          <w:tcPr>
            <w:tcW w:w="3798" w:type="pct"/>
            <w:gridSpan w:val="2"/>
            <w:vAlign w:val="center"/>
          </w:tcPr>
          <w:p>
            <w:pPr>
              <w:rPr>
                <w:szCs w:val="21"/>
              </w:rPr>
            </w:pPr>
            <w:r>
              <w:rPr>
                <w:rFonts w:hint="eastAsia"/>
                <w:szCs w:val="21"/>
              </w:rPr>
              <w:t>可对某个课程进行设置学习任务，可设置必须所有人学完才算结束本课程，也可设置个人学完即可完成任务，完成任务后可以获得相应的学时和学分。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问答</w:t>
            </w:r>
          </w:p>
        </w:tc>
        <w:tc>
          <w:tcPr>
            <w:tcW w:w="3798" w:type="pct"/>
            <w:gridSpan w:val="2"/>
            <w:vAlign w:val="center"/>
          </w:tcPr>
          <w:p>
            <w:pPr>
              <w:rPr>
                <w:szCs w:val="21"/>
              </w:rPr>
            </w:pPr>
            <w:r>
              <w:rPr>
                <w:rFonts w:hint="eastAsia"/>
                <w:szCs w:val="21"/>
              </w:rPr>
              <w:t>学员观看视频后提出的疑问，可回复，亦或是发布者设置的问题由学员回答检查学员观看视频后的学习情况。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会议签到</w:t>
            </w:r>
          </w:p>
        </w:tc>
        <w:tc>
          <w:tcPr>
            <w:tcW w:w="3798" w:type="pct"/>
            <w:gridSpan w:val="2"/>
            <w:vAlign w:val="center"/>
          </w:tcPr>
          <w:p>
            <w:pPr>
              <w:rPr>
                <w:szCs w:val="21"/>
              </w:rPr>
            </w:pPr>
            <w:r>
              <w:rPr>
                <w:rFonts w:hint="eastAsia"/>
                <w:szCs w:val="21"/>
              </w:rPr>
              <w:t>可设置动态二维码签到，确保到场的学员可以现场扫码进行考试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评价</w:t>
            </w:r>
          </w:p>
        </w:tc>
        <w:tc>
          <w:tcPr>
            <w:tcW w:w="3798" w:type="pct"/>
            <w:gridSpan w:val="2"/>
            <w:vAlign w:val="center"/>
          </w:tcPr>
          <w:p>
            <w:pPr>
              <w:rPr>
                <w:szCs w:val="21"/>
              </w:rPr>
            </w:pPr>
            <w:r>
              <w:rPr>
                <w:rFonts w:hint="eastAsia"/>
                <w:szCs w:val="21"/>
              </w:rPr>
              <w:t xml:space="preserve">可设置对视频课程观看后进行评价的等。 </w:t>
            </w:r>
            <w:r>
              <w:rPr>
                <w:rFonts w:hint="eastAsia" w:ascii="宋体" w:hAnsi="宋体"/>
                <w:szCs w:val="21"/>
              </w:rPr>
              <w:t>本项</w:t>
            </w:r>
            <w:r>
              <w:rPr>
                <w:rFonts w:hint="eastAsia"/>
                <w:szCs w:val="21"/>
              </w:rPr>
              <w:t>需提供软件系统截图并加盖公章</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课程学习</w:t>
            </w:r>
          </w:p>
        </w:tc>
        <w:tc>
          <w:tcPr>
            <w:tcW w:w="3798" w:type="pct"/>
            <w:gridSpan w:val="2"/>
            <w:vAlign w:val="center"/>
          </w:tcPr>
          <w:p>
            <w:pPr>
              <w:rPr>
                <w:szCs w:val="21"/>
              </w:rPr>
            </w:pPr>
            <w:r>
              <w:rPr>
                <w:rFonts w:hint="eastAsia"/>
                <w:szCs w:val="21"/>
              </w:rPr>
              <w:t>学习进度按百分比显示，可查看已完成任务数量，任务学习有效期，下一个学习任务，对自己的学习进度查看一目了然。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添加课程</w:t>
            </w:r>
          </w:p>
        </w:tc>
        <w:tc>
          <w:tcPr>
            <w:tcW w:w="3798" w:type="pct"/>
            <w:gridSpan w:val="2"/>
            <w:vAlign w:val="center"/>
          </w:tcPr>
          <w:p>
            <w:pPr>
              <w:rPr>
                <w:szCs w:val="21"/>
              </w:rPr>
            </w:pPr>
            <w:r>
              <w:rPr>
                <w:rFonts w:hint="eastAsia"/>
                <w:szCs w:val="21"/>
              </w:rPr>
              <w:t>输入课程的标题、选择对应的科室、上传封面、介绍添加课程的内容，也可添加课程标签、课程目标、目标人群。</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添加课程配置</w:t>
            </w:r>
          </w:p>
        </w:tc>
        <w:tc>
          <w:tcPr>
            <w:tcW w:w="3798" w:type="pct"/>
            <w:gridSpan w:val="2"/>
            <w:vAlign w:val="center"/>
          </w:tcPr>
          <w:p>
            <w:pPr>
              <w:rPr>
                <w:szCs w:val="21"/>
              </w:rPr>
            </w:pPr>
            <w:r>
              <w:rPr>
                <w:rFonts w:hint="eastAsia"/>
                <w:szCs w:val="21"/>
              </w:rPr>
              <w:t>可以根据加入条件、有效时间、学分结算方式、学分类型、发布时间添加课程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5" w:type="pct"/>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统计查看</w:t>
            </w:r>
          </w:p>
        </w:tc>
        <w:tc>
          <w:tcPr>
            <w:tcW w:w="3798" w:type="pct"/>
            <w:gridSpan w:val="2"/>
            <w:vAlign w:val="center"/>
          </w:tcPr>
          <w:p>
            <w:pPr>
              <w:rPr>
                <w:szCs w:val="21"/>
              </w:rPr>
            </w:pPr>
            <w:r>
              <w:rPr>
                <w:rFonts w:hint="eastAsia"/>
                <w:szCs w:val="21"/>
              </w:rPr>
              <w:t>可根据时间、科室、专业等筛选项查看学员的学习进度</w:t>
            </w:r>
            <w:r>
              <w:rPr>
                <w:rFonts w:hint="eastAsia" w:ascii="宋体" w:hAnsi="宋体"/>
                <w:szCs w:val="21"/>
              </w:rPr>
              <w:t>本项</w:t>
            </w:r>
            <w:r>
              <w:rPr>
                <w:rFonts w:hint="eastAsia"/>
                <w:szCs w:val="21"/>
              </w:rPr>
              <w:t>需提供软件系统截图并加盖公章</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5" w:type="pct"/>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视频考试</w:t>
            </w:r>
          </w:p>
        </w:tc>
        <w:tc>
          <w:tcPr>
            <w:tcW w:w="3798" w:type="pct"/>
            <w:gridSpan w:val="2"/>
            <w:vAlign w:val="center"/>
          </w:tcPr>
          <w:p>
            <w:pPr>
              <w:rPr>
                <w:szCs w:val="21"/>
              </w:rPr>
            </w:pPr>
            <w:r>
              <w:rPr>
                <w:rFonts w:hint="eastAsia"/>
                <w:szCs w:val="21"/>
              </w:rPr>
              <w:t>可设置观看完成视频后，根据视频内容进行出题进行考试，考试完成后有相应的量化指标，比如视频完成率、考试分数、及格线、学分、学时等。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5" w:type="pct"/>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视频学分统计</w:t>
            </w:r>
          </w:p>
        </w:tc>
        <w:tc>
          <w:tcPr>
            <w:tcW w:w="3798" w:type="pct"/>
            <w:gridSpan w:val="2"/>
            <w:vAlign w:val="center"/>
          </w:tcPr>
          <w:p>
            <w:pPr>
              <w:rPr>
                <w:szCs w:val="21"/>
              </w:rPr>
            </w:pPr>
            <w:r>
              <w:rPr>
                <w:rFonts w:hint="eastAsia"/>
                <w:szCs w:val="21"/>
              </w:rPr>
              <w:t>可设置课程任务学分，完成任务后，统计观看视频学分。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55" w:type="pct"/>
            <w:vMerge w:val="restart"/>
            <w:vAlign w:val="center"/>
          </w:tcPr>
          <w:p>
            <w:pPr>
              <w:jc w:val="center"/>
              <w:rPr>
                <w:rFonts w:ascii="宋体" w:hAnsi="宋体"/>
                <w:b/>
                <w:szCs w:val="21"/>
              </w:rPr>
            </w:pPr>
            <w:r>
              <w:rPr>
                <w:rFonts w:hint="eastAsia" w:ascii="宋体" w:hAnsi="宋体"/>
                <w:b/>
                <w:szCs w:val="21"/>
              </w:rPr>
              <w:t>临床</w:t>
            </w:r>
            <w:r>
              <w:rPr>
                <w:rFonts w:ascii="宋体" w:hAnsi="宋体"/>
                <w:b/>
                <w:szCs w:val="21"/>
              </w:rPr>
              <w:t>数据库</w:t>
            </w:r>
          </w:p>
          <w:p>
            <w:pPr>
              <w:jc w:val="center"/>
              <w:rPr>
                <w:rFonts w:ascii="宋体" w:hAnsi="宋体"/>
                <w:b/>
                <w:szCs w:val="21"/>
              </w:rPr>
            </w:pPr>
            <w:r>
              <w:rPr>
                <w:rFonts w:hint="eastAsia" w:ascii="宋体" w:hAnsi="宋体"/>
                <w:b/>
                <w:szCs w:val="21"/>
              </w:rPr>
              <w:t>（近万条病案</w:t>
            </w:r>
            <w:r>
              <w:rPr>
                <w:rFonts w:ascii="宋体" w:hAnsi="宋体"/>
                <w:b/>
                <w:szCs w:val="21"/>
              </w:rPr>
              <w:t>病例</w:t>
            </w:r>
            <w:r>
              <w:rPr>
                <w:rFonts w:hint="eastAsia" w:ascii="宋体" w:hAnsi="宋体"/>
                <w:b/>
                <w:szCs w:val="21"/>
              </w:rPr>
              <w:t>）</w:t>
            </w:r>
          </w:p>
        </w:tc>
        <w:tc>
          <w:tcPr>
            <w:tcW w:w="545" w:type="pct"/>
            <w:vAlign w:val="center"/>
          </w:tcPr>
          <w:p>
            <w:pPr>
              <w:jc w:val="center"/>
              <w:rPr>
                <w:rFonts w:ascii="宋体" w:hAnsi="宋体"/>
                <w:b/>
                <w:szCs w:val="21"/>
              </w:rPr>
            </w:pPr>
            <w:r>
              <w:rPr>
                <w:rFonts w:hint="eastAsia" w:ascii="宋体" w:hAnsi="宋体"/>
                <w:b/>
                <w:szCs w:val="21"/>
              </w:rPr>
              <w:t>疾病</w:t>
            </w:r>
            <w:r>
              <w:rPr>
                <w:rFonts w:ascii="宋体" w:hAnsi="宋体"/>
                <w:b/>
                <w:szCs w:val="21"/>
              </w:rPr>
              <w:t>查询</w:t>
            </w:r>
          </w:p>
        </w:tc>
        <w:tc>
          <w:tcPr>
            <w:tcW w:w="3798" w:type="pct"/>
            <w:gridSpan w:val="2"/>
            <w:vAlign w:val="center"/>
          </w:tcPr>
          <w:p>
            <w:pPr>
              <w:rPr>
                <w:rFonts w:ascii="宋体" w:hAnsi="宋体"/>
                <w:szCs w:val="21"/>
              </w:rPr>
            </w:pPr>
            <w:r>
              <w:rPr>
                <w:rFonts w:hint="eastAsia" w:ascii="宋体" w:hAnsi="宋体"/>
                <w:szCs w:val="21"/>
              </w:rPr>
              <w:t>根据</w:t>
            </w:r>
            <w:r>
              <w:rPr>
                <w:rFonts w:ascii="宋体" w:hAnsi="宋体"/>
                <w:szCs w:val="21"/>
              </w:rPr>
              <w:t>关键字</w:t>
            </w:r>
            <w:r>
              <w:rPr>
                <w:rFonts w:hint="eastAsia" w:ascii="宋体" w:hAnsi="宋体"/>
                <w:szCs w:val="21"/>
              </w:rPr>
              <w:t>查询</w:t>
            </w:r>
            <w:r>
              <w:rPr>
                <w:rFonts w:ascii="宋体" w:hAnsi="宋体"/>
                <w:szCs w:val="21"/>
              </w:rPr>
              <w:t>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病症</w:t>
            </w:r>
            <w:r>
              <w:rPr>
                <w:rFonts w:ascii="宋体" w:hAnsi="宋体"/>
                <w:b/>
                <w:szCs w:val="21"/>
              </w:rPr>
              <w:t>查询</w:t>
            </w:r>
          </w:p>
        </w:tc>
        <w:tc>
          <w:tcPr>
            <w:tcW w:w="3798" w:type="pct"/>
            <w:gridSpan w:val="2"/>
            <w:vAlign w:val="center"/>
          </w:tcPr>
          <w:p>
            <w:pPr>
              <w:rPr>
                <w:rFonts w:ascii="宋体" w:hAnsi="宋体"/>
                <w:szCs w:val="21"/>
              </w:rPr>
            </w:pPr>
            <w:r>
              <w:rPr>
                <w:rFonts w:hint="eastAsia" w:ascii="宋体" w:hAnsi="宋体"/>
                <w:szCs w:val="21"/>
              </w:rPr>
              <w:t>根据</w:t>
            </w:r>
            <w:r>
              <w:rPr>
                <w:rFonts w:ascii="宋体" w:hAnsi="宋体"/>
                <w:szCs w:val="21"/>
              </w:rPr>
              <w:t>关键字</w:t>
            </w:r>
            <w:r>
              <w:rPr>
                <w:rFonts w:hint="eastAsia" w:ascii="宋体" w:hAnsi="宋体"/>
                <w:szCs w:val="21"/>
              </w:rPr>
              <w:t>查询病症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手术指导</w:t>
            </w:r>
          </w:p>
        </w:tc>
        <w:tc>
          <w:tcPr>
            <w:tcW w:w="3798" w:type="pct"/>
            <w:gridSpan w:val="2"/>
            <w:vAlign w:val="center"/>
          </w:tcPr>
          <w:p>
            <w:pPr>
              <w:rPr>
                <w:rFonts w:ascii="宋体" w:hAnsi="宋体"/>
                <w:szCs w:val="21"/>
              </w:rPr>
            </w:pPr>
            <w:r>
              <w:rPr>
                <w:rFonts w:hint="eastAsia" w:ascii="宋体" w:hAnsi="宋体"/>
                <w:szCs w:val="21"/>
              </w:rPr>
              <w:t>根据</w:t>
            </w:r>
            <w:r>
              <w:rPr>
                <w:rFonts w:ascii="宋体" w:hAnsi="宋体"/>
                <w:szCs w:val="21"/>
              </w:rPr>
              <w:t>关键字</w:t>
            </w:r>
            <w:r>
              <w:rPr>
                <w:rFonts w:hint="eastAsia" w:ascii="宋体" w:hAnsi="宋体"/>
                <w:szCs w:val="21"/>
              </w:rPr>
              <w:t>查询手术步骤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临床</w:t>
            </w:r>
            <w:r>
              <w:rPr>
                <w:rFonts w:ascii="宋体" w:hAnsi="宋体"/>
                <w:b/>
                <w:szCs w:val="21"/>
              </w:rPr>
              <w:t>护理</w:t>
            </w:r>
          </w:p>
        </w:tc>
        <w:tc>
          <w:tcPr>
            <w:tcW w:w="3798" w:type="pct"/>
            <w:gridSpan w:val="2"/>
            <w:vAlign w:val="center"/>
          </w:tcPr>
          <w:p>
            <w:pPr>
              <w:rPr>
                <w:rFonts w:ascii="宋体" w:hAnsi="宋体"/>
                <w:szCs w:val="21"/>
              </w:rPr>
            </w:pPr>
            <w:r>
              <w:rPr>
                <w:rFonts w:hint="eastAsia" w:ascii="宋体" w:hAnsi="宋体"/>
                <w:szCs w:val="21"/>
              </w:rPr>
              <w:t>根据</w:t>
            </w:r>
            <w:r>
              <w:rPr>
                <w:rFonts w:ascii="宋体" w:hAnsi="宋体"/>
                <w:szCs w:val="21"/>
              </w:rPr>
              <w:t>关键字</w:t>
            </w:r>
            <w:r>
              <w:rPr>
                <w:rFonts w:hint="eastAsia" w:ascii="宋体" w:hAnsi="宋体"/>
                <w:szCs w:val="21"/>
              </w:rPr>
              <w:t>查询临床</w:t>
            </w:r>
            <w:r>
              <w:rPr>
                <w:rFonts w:ascii="宋体" w:hAnsi="宋体"/>
                <w:szCs w:val="21"/>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临床</w:t>
            </w:r>
            <w:r>
              <w:rPr>
                <w:rFonts w:ascii="宋体" w:hAnsi="宋体"/>
                <w:b/>
                <w:szCs w:val="21"/>
              </w:rPr>
              <w:t>化验</w:t>
            </w:r>
          </w:p>
        </w:tc>
        <w:tc>
          <w:tcPr>
            <w:tcW w:w="3798" w:type="pct"/>
            <w:gridSpan w:val="2"/>
            <w:vAlign w:val="center"/>
          </w:tcPr>
          <w:p>
            <w:pPr>
              <w:rPr>
                <w:rFonts w:ascii="宋体" w:hAnsi="宋体"/>
                <w:szCs w:val="21"/>
              </w:rPr>
            </w:pPr>
            <w:r>
              <w:rPr>
                <w:rFonts w:hint="eastAsia" w:ascii="宋体" w:hAnsi="宋体"/>
                <w:szCs w:val="21"/>
              </w:rPr>
              <w:t>根据</w:t>
            </w:r>
            <w:r>
              <w:rPr>
                <w:rFonts w:ascii="宋体" w:hAnsi="宋体"/>
                <w:szCs w:val="21"/>
              </w:rPr>
              <w:t>关键字</w:t>
            </w:r>
            <w:r>
              <w:rPr>
                <w:rFonts w:hint="eastAsia" w:ascii="宋体" w:hAnsi="宋体"/>
                <w:szCs w:val="21"/>
              </w:rPr>
              <w:t>查询正常参考值以及异常结果分析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中药</w:t>
            </w:r>
            <w:r>
              <w:rPr>
                <w:rFonts w:ascii="宋体" w:hAnsi="宋体"/>
                <w:b/>
                <w:szCs w:val="21"/>
              </w:rPr>
              <w:t>鉴别</w:t>
            </w:r>
          </w:p>
        </w:tc>
        <w:tc>
          <w:tcPr>
            <w:tcW w:w="3798" w:type="pct"/>
            <w:gridSpan w:val="2"/>
            <w:vAlign w:val="center"/>
          </w:tcPr>
          <w:p>
            <w:pPr>
              <w:rPr>
                <w:rFonts w:ascii="宋体" w:hAnsi="宋体"/>
                <w:szCs w:val="21"/>
              </w:rPr>
            </w:pPr>
            <w:r>
              <w:rPr>
                <w:rFonts w:hint="eastAsia" w:ascii="宋体" w:hAnsi="宋体"/>
                <w:szCs w:val="21"/>
              </w:rPr>
              <w:t>根据</w:t>
            </w:r>
            <w:r>
              <w:rPr>
                <w:rFonts w:ascii="宋体" w:hAnsi="宋体"/>
                <w:szCs w:val="21"/>
              </w:rPr>
              <w:t>关键字</w:t>
            </w:r>
            <w:r>
              <w:rPr>
                <w:rFonts w:hint="eastAsia" w:ascii="宋体" w:hAnsi="宋体"/>
                <w:szCs w:val="21"/>
              </w:rPr>
              <w:t>查询中药性状以及来源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中药</w:t>
            </w:r>
            <w:r>
              <w:rPr>
                <w:rFonts w:ascii="宋体" w:hAnsi="宋体"/>
                <w:b/>
                <w:szCs w:val="21"/>
              </w:rPr>
              <w:t>方剂</w:t>
            </w:r>
          </w:p>
        </w:tc>
        <w:tc>
          <w:tcPr>
            <w:tcW w:w="3798" w:type="pct"/>
            <w:gridSpan w:val="2"/>
            <w:vAlign w:val="center"/>
          </w:tcPr>
          <w:p>
            <w:pPr>
              <w:rPr>
                <w:rFonts w:ascii="宋体" w:hAnsi="宋体"/>
                <w:szCs w:val="21"/>
              </w:rPr>
            </w:pPr>
            <w:r>
              <w:rPr>
                <w:rFonts w:hint="eastAsia" w:ascii="宋体" w:hAnsi="宋体"/>
                <w:szCs w:val="21"/>
              </w:rPr>
              <w:t>根据</w:t>
            </w:r>
            <w:r>
              <w:rPr>
                <w:rFonts w:ascii="宋体" w:hAnsi="宋体"/>
                <w:szCs w:val="21"/>
              </w:rPr>
              <w:t>关键字</w:t>
            </w:r>
            <w:r>
              <w:rPr>
                <w:rFonts w:hint="eastAsia" w:ascii="宋体" w:hAnsi="宋体"/>
                <w:szCs w:val="21"/>
              </w:rPr>
              <w:t>查询中药方剂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中药制成</w:t>
            </w:r>
          </w:p>
        </w:tc>
        <w:tc>
          <w:tcPr>
            <w:tcW w:w="3798" w:type="pct"/>
            <w:gridSpan w:val="2"/>
            <w:vAlign w:val="center"/>
          </w:tcPr>
          <w:p>
            <w:pPr>
              <w:rPr>
                <w:rFonts w:ascii="宋体" w:hAnsi="宋体"/>
                <w:szCs w:val="21"/>
              </w:rPr>
            </w:pPr>
            <w:r>
              <w:rPr>
                <w:rFonts w:hint="eastAsia" w:ascii="宋体" w:hAnsi="宋体"/>
                <w:szCs w:val="21"/>
              </w:rPr>
              <w:t>根据</w:t>
            </w:r>
            <w:r>
              <w:rPr>
                <w:rFonts w:ascii="宋体" w:hAnsi="宋体"/>
                <w:szCs w:val="21"/>
              </w:rPr>
              <w:t>关键字</w:t>
            </w:r>
            <w:r>
              <w:rPr>
                <w:rFonts w:hint="eastAsia" w:ascii="宋体" w:hAnsi="宋体"/>
                <w:szCs w:val="21"/>
              </w:rPr>
              <w:t>查询中药的来源以及炮制方法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病症</w:t>
            </w:r>
            <w:r>
              <w:rPr>
                <w:rFonts w:ascii="宋体" w:hAnsi="宋体"/>
                <w:b/>
                <w:szCs w:val="21"/>
              </w:rPr>
              <w:t>手册</w:t>
            </w:r>
          </w:p>
        </w:tc>
        <w:tc>
          <w:tcPr>
            <w:tcW w:w="3798" w:type="pct"/>
            <w:gridSpan w:val="2"/>
            <w:vAlign w:val="center"/>
          </w:tcPr>
          <w:p>
            <w:pPr>
              <w:rPr>
                <w:rFonts w:ascii="宋体" w:hAnsi="宋体"/>
                <w:szCs w:val="21"/>
              </w:rPr>
            </w:pPr>
            <w:r>
              <w:rPr>
                <w:rFonts w:hint="eastAsia" w:ascii="宋体" w:hAnsi="宋体"/>
                <w:szCs w:val="21"/>
              </w:rPr>
              <w:t>根据</w:t>
            </w:r>
            <w:r>
              <w:rPr>
                <w:rFonts w:ascii="宋体" w:hAnsi="宋体"/>
                <w:szCs w:val="21"/>
              </w:rPr>
              <w:t>关键字</w:t>
            </w:r>
            <w:r>
              <w:rPr>
                <w:rFonts w:hint="eastAsia" w:ascii="宋体" w:hAnsi="宋体"/>
                <w:szCs w:val="21"/>
              </w:rPr>
              <w:t>查询病症手册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55" w:type="pct"/>
            <w:vMerge w:val="restart"/>
            <w:vAlign w:val="center"/>
          </w:tcPr>
          <w:p>
            <w:pPr>
              <w:jc w:val="center"/>
              <w:rPr>
                <w:rFonts w:ascii="宋体" w:hAnsi="宋体"/>
                <w:b/>
                <w:szCs w:val="21"/>
              </w:rPr>
            </w:pPr>
            <w:r>
              <w:rPr>
                <w:rFonts w:hint="eastAsia" w:ascii="宋体" w:hAnsi="宋体"/>
                <w:b/>
                <w:szCs w:val="21"/>
              </w:rPr>
              <w:t>我的资料</w:t>
            </w:r>
          </w:p>
        </w:tc>
        <w:tc>
          <w:tcPr>
            <w:tcW w:w="545" w:type="pct"/>
            <w:vAlign w:val="center"/>
          </w:tcPr>
          <w:p>
            <w:pPr>
              <w:jc w:val="center"/>
              <w:rPr>
                <w:rFonts w:ascii="宋体" w:hAnsi="宋体"/>
                <w:b/>
                <w:szCs w:val="21"/>
              </w:rPr>
            </w:pPr>
            <w:r>
              <w:rPr>
                <w:rFonts w:hint="eastAsia" w:ascii="宋体" w:hAnsi="宋体"/>
                <w:b/>
                <w:szCs w:val="21"/>
              </w:rPr>
              <w:t>上传资料</w:t>
            </w:r>
          </w:p>
        </w:tc>
        <w:tc>
          <w:tcPr>
            <w:tcW w:w="3798" w:type="pct"/>
            <w:gridSpan w:val="2"/>
            <w:vAlign w:val="center"/>
          </w:tcPr>
          <w:p>
            <w:pPr>
              <w:rPr>
                <w:rFonts w:ascii="宋体" w:hAnsi="宋体"/>
                <w:szCs w:val="21"/>
              </w:rPr>
            </w:pPr>
            <w:r>
              <w:rPr>
                <w:rFonts w:hint="eastAsia" w:ascii="宋体" w:hAnsi="宋体"/>
                <w:szCs w:val="21"/>
              </w:rPr>
              <w:t>可把</w:t>
            </w:r>
            <w:r>
              <w:rPr>
                <w:rFonts w:ascii="宋体" w:hAnsi="宋体"/>
                <w:szCs w:val="21"/>
              </w:rPr>
              <w:t>本地</w:t>
            </w:r>
            <w:r>
              <w:rPr>
                <w:rFonts w:hint="eastAsia" w:ascii="宋体" w:hAnsi="宋体"/>
                <w:szCs w:val="21"/>
              </w:rPr>
              <w:t>任意</w:t>
            </w:r>
            <w:r>
              <w:rPr>
                <w:rFonts w:ascii="宋体" w:hAnsi="宋体"/>
                <w:szCs w:val="21"/>
              </w:rPr>
              <w:t>类型</w:t>
            </w:r>
            <w:r>
              <w:rPr>
                <w:rFonts w:hint="eastAsia" w:ascii="宋体" w:hAnsi="宋体"/>
                <w:szCs w:val="21"/>
              </w:rPr>
              <w:t>资料</w:t>
            </w:r>
            <w:r>
              <w:rPr>
                <w:rFonts w:ascii="宋体" w:hAnsi="宋体"/>
                <w:szCs w:val="21"/>
              </w:rPr>
              <w:t>文件</w:t>
            </w:r>
            <w:r>
              <w:rPr>
                <w:rFonts w:hint="eastAsia" w:ascii="宋体" w:hAnsi="宋体"/>
                <w:szCs w:val="21"/>
              </w:rPr>
              <w:t>上传</w:t>
            </w:r>
            <w:r>
              <w:rPr>
                <w:rFonts w:ascii="宋体" w:hAnsi="宋体"/>
                <w:szCs w:val="21"/>
              </w:rPr>
              <w:t>到考试系统</w:t>
            </w:r>
            <w:r>
              <w:rPr>
                <w:rFonts w:hint="eastAsia" w:ascii="宋体" w:hAnsi="宋体"/>
                <w:szCs w:val="21"/>
              </w:rPr>
              <w:t>。</w:t>
            </w:r>
            <w:r>
              <w:rPr>
                <w:rFonts w:ascii="宋体" w:hAnsi="宋体"/>
                <w:szCs w:val="21"/>
              </w:rPr>
              <w:t>如</w:t>
            </w:r>
            <w:r>
              <w:rPr>
                <w:rFonts w:hint="eastAsia" w:ascii="宋体" w:hAnsi="宋体"/>
                <w:szCs w:val="21"/>
              </w:rPr>
              <w:t>：视频</w:t>
            </w:r>
            <w:r>
              <w:rPr>
                <w:rFonts w:ascii="宋体" w:hAnsi="宋体"/>
                <w:szCs w:val="21"/>
              </w:rPr>
              <w:t>、</w:t>
            </w:r>
            <w:r>
              <w:rPr>
                <w:rFonts w:hint="eastAsia" w:ascii="宋体" w:hAnsi="宋体"/>
                <w:szCs w:val="21"/>
              </w:rPr>
              <w:t>图片、PDF、</w:t>
            </w:r>
            <w:r>
              <w:rPr>
                <w:rFonts w:ascii="宋体" w:hAnsi="宋体"/>
                <w:szCs w:val="21"/>
              </w:rPr>
              <w:t>Word</w:t>
            </w:r>
            <w:r>
              <w:rPr>
                <w:rFonts w:hint="eastAsia" w:ascii="宋体" w:hAnsi="宋体"/>
                <w:szCs w:val="21"/>
              </w:rPr>
              <w:t>、Excel</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筛选</w:t>
            </w:r>
          </w:p>
        </w:tc>
        <w:tc>
          <w:tcPr>
            <w:tcW w:w="3798" w:type="pct"/>
            <w:gridSpan w:val="2"/>
            <w:vAlign w:val="center"/>
          </w:tcPr>
          <w:p>
            <w:pPr>
              <w:rPr>
                <w:rFonts w:ascii="宋体" w:hAnsi="宋体"/>
                <w:szCs w:val="21"/>
              </w:rPr>
            </w:pPr>
            <w:r>
              <w:rPr>
                <w:rFonts w:hint="eastAsia" w:ascii="宋体" w:hAnsi="宋体"/>
                <w:szCs w:val="21"/>
              </w:rPr>
              <w:t>可以</w:t>
            </w:r>
            <w:r>
              <w:rPr>
                <w:rFonts w:ascii="宋体" w:hAnsi="宋体"/>
                <w:szCs w:val="21"/>
              </w:rPr>
              <w:t>按照</w:t>
            </w:r>
            <w:r>
              <w:rPr>
                <w:rFonts w:hint="eastAsia" w:ascii="宋体" w:hAnsi="宋体"/>
                <w:szCs w:val="21"/>
              </w:rPr>
              <w:t>时间</w:t>
            </w:r>
            <w:r>
              <w:rPr>
                <w:rFonts w:ascii="宋体" w:hAnsi="宋体"/>
                <w:szCs w:val="21"/>
              </w:rPr>
              <w:t>段以及资料标题关键字</w:t>
            </w:r>
            <w:r>
              <w:rPr>
                <w:rFonts w:hint="eastAsia" w:ascii="宋体" w:hAnsi="宋体"/>
                <w:szCs w:val="21"/>
              </w:rPr>
              <w:t>搜索</w:t>
            </w:r>
            <w:r>
              <w:rPr>
                <w:rFonts w:ascii="宋体" w:hAnsi="宋体"/>
                <w:szCs w:val="21"/>
              </w:rPr>
              <w:t>对应上传的资料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pct"/>
            <w:vMerge w:val="restart"/>
            <w:vAlign w:val="center"/>
          </w:tcPr>
          <w:p>
            <w:pPr>
              <w:jc w:val="center"/>
              <w:rPr>
                <w:rFonts w:ascii="宋体" w:hAnsi="宋体"/>
                <w:b/>
                <w:szCs w:val="21"/>
              </w:rPr>
            </w:pPr>
            <w:r>
              <w:rPr>
                <w:rFonts w:hint="eastAsia" w:ascii="宋体" w:hAnsi="宋体"/>
                <w:b/>
                <w:szCs w:val="21"/>
              </w:rPr>
              <w:t>资料库</w:t>
            </w:r>
          </w:p>
        </w:tc>
        <w:tc>
          <w:tcPr>
            <w:tcW w:w="545" w:type="pct"/>
            <w:vAlign w:val="center"/>
          </w:tcPr>
          <w:p>
            <w:pPr>
              <w:jc w:val="center"/>
              <w:rPr>
                <w:rFonts w:ascii="宋体" w:hAnsi="宋体"/>
                <w:b/>
                <w:szCs w:val="21"/>
              </w:rPr>
            </w:pPr>
            <w:r>
              <w:rPr>
                <w:rFonts w:hint="eastAsia" w:ascii="宋体" w:hAnsi="宋体"/>
                <w:b/>
                <w:szCs w:val="21"/>
              </w:rPr>
              <w:t>类别管理</w:t>
            </w:r>
          </w:p>
        </w:tc>
        <w:tc>
          <w:tcPr>
            <w:tcW w:w="3798" w:type="pct"/>
            <w:gridSpan w:val="2"/>
          </w:tcPr>
          <w:p>
            <w:pPr>
              <w:rPr>
                <w:rFonts w:ascii="宋体" w:hAnsi="宋体"/>
                <w:szCs w:val="21"/>
              </w:rPr>
            </w:pPr>
            <w:r>
              <w:rPr>
                <w:rFonts w:hint="eastAsia" w:ascii="宋体" w:hAnsi="宋体"/>
                <w:szCs w:val="21"/>
              </w:rPr>
              <w:t>可以分门别类的添加和管理论坛的各种类别。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附件上传</w:t>
            </w:r>
          </w:p>
        </w:tc>
        <w:tc>
          <w:tcPr>
            <w:tcW w:w="3798" w:type="pct"/>
            <w:gridSpan w:val="2"/>
          </w:tcPr>
          <w:p>
            <w:pPr>
              <w:rPr>
                <w:rFonts w:ascii="宋体" w:hAnsi="宋体"/>
                <w:szCs w:val="21"/>
              </w:rPr>
            </w:pPr>
            <w:r>
              <w:rPr>
                <w:rFonts w:hint="eastAsia" w:ascii="宋体" w:hAnsi="宋体"/>
                <w:szCs w:val="21"/>
              </w:rPr>
              <w:t>可以在线上传相关附件到论坛上供其他人在线查看。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来自分享</w:t>
            </w:r>
          </w:p>
        </w:tc>
        <w:tc>
          <w:tcPr>
            <w:tcW w:w="3798" w:type="pct"/>
            <w:gridSpan w:val="2"/>
          </w:tcPr>
          <w:p>
            <w:pPr>
              <w:rPr>
                <w:rFonts w:ascii="宋体" w:hAnsi="宋体"/>
                <w:szCs w:val="21"/>
              </w:rPr>
            </w:pPr>
            <w:r>
              <w:rPr>
                <w:rFonts w:hint="eastAsia" w:ascii="宋体" w:hAnsi="宋体"/>
                <w:szCs w:val="21"/>
              </w:rPr>
              <w:t>可以查看不同的人发的帖子，权限级别不同所看到的帖子的数量也不同。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55" w:type="pct"/>
            <w:vMerge w:val="restart"/>
            <w:vAlign w:val="center"/>
          </w:tcPr>
          <w:p>
            <w:pPr>
              <w:jc w:val="center"/>
              <w:rPr>
                <w:rFonts w:ascii="宋体" w:hAnsi="宋体"/>
                <w:b/>
                <w:szCs w:val="21"/>
              </w:rPr>
            </w:pPr>
            <w:r>
              <w:rPr>
                <w:rFonts w:hint="eastAsia" w:ascii="微软雅黑" w:hAnsi="微软雅黑" w:eastAsia="微软雅黑" w:cs="微软雅黑"/>
                <w:sz w:val="24"/>
                <w:szCs w:val="24"/>
              </w:rPr>
              <w:t>▲</w:t>
            </w:r>
            <w:r>
              <w:rPr>
                <w:rFonts w:hint="eastAsia" w:ascii="宋体" w:hAnsi="宋体"/>
                <w:b/>
                <w:szCs w:val="21"/>
              </w:rPr>
              <w:t>用户</w:t>
            </w:r>
            <w:r>
              <w:rPr>
                <w:rFonts w:ascii="宋体" w:hAnsi="宋体"/>
                <w:b/>
                <w:szCs w:val="21"/>
              </w:rPr>
              <w:t>管理</w:t>
            </w:r>
          </w:p>
        </w:tc>
        <w:tc>
          <w:tcPr>
            <w:tcW w:w="545" w:type="pct"/>
            <w:vAlign w:val="center"/>
          </w:tcPr>
          <w:p>
            <w:pPr>
              <w:jc w:val="center"/>
              <w:rPr>
                <w:rFonts w:ascii="宋体" w:hAnsi="宋体"/>
                <w:b/>
                <w:szCs w:val="21"/>
              </w:rPr>
            </w:pPr>
            <w:r>
              <w:rPr>
                <w:rFonts w:hint="eastAsia" w:ascii="宋体" w:hAnsi="宋体"/>
                <w:b/>
                <w:szCs w:val="21"/>
              </w:rPr>
              <w:t>用户添加</w:t>
            </w:r>
          </w:p>
        </w:tc>
        <w:tc>
          <w:tcPr>
            <w:tcW w:w="3798" w:type="pct"/>
            <w:gridSpan w:val="2"/>
          </w:tcPr>
          <w:p>
            <w:pPr>
              <w:rPr>
                <w:rFonts w:ascii="宋体" w:hAnsi="宋体"/>
                <w:szCs w:val="21"/>
              </w:rPr>
            </w:pPr>
            <w:r>
              <w:rPr>
                <w:rFonts w:hint="eastAsia" w:ascii="宋体" w:hAnsi="宋体"/>
                <w:szCs w:val="21"/>
              </w:rPr>
              <w:t>增加用户名，并设定相应的访问权限。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用户管理</w:t>
            </w:r>
          </w:p>
        </w:tc>
        <w:tc>
          <w:tcPr>
            <w:tcW w:w="3798" w:type="pct"/>
            <w:gridSpan w:val="2"/>
          </w:tcPr>
          <w:p>
            <w:pPr>
              <w:rPr>
                <w:rFonts w:ascii="宋体" w:hAnsi="宋体"/>
                <w:szCs w:val="21"/>
              </w:rPr>
            </w:pPr>
            <w:r>
              <w:rPr>
                <w:rFonts w:hint="eastAsia" w:ascii="宋体" w:hAnsi="宋体"/>
                <w:szCs w:val="21"/>
              </w:rPr>
              <w:t>查看用户数量、修改用户信息及登录密码等。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批量添加</w:t>
            </w:r>
          </w:p>
        </w:tc>
        <w:tc>
          <w:tcPr>
            <w:tcW w:w="3798" w:type="pct"/>
            <w:gridSpan w:val="2"/>
          </w:tcPr>
          <w:p>
            <w:pPr>
              <w:rPr>
                <w:rFonts w:ascii="宋体" w:hAnsi="宋体"/>
                <w:szCs w:val="21"/>
              </w:rPr>
            </w:pPr>
            <w:r>
              <w:rPr>
                <w:rFonts w:hint="eastAsia" w:ascii="宋体" w:hAnsi="宋体"/>
                <w:szCs w:val="21"/>
              </w:rPr>
              <w:t>根据预先设定的excel表格，批量添加用户信息。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用户类别</w:t>
            </w:r>
          </w:p>
        </w:tc>
        <w:tc>
          <w:tcPr>
            <w:tcW w:w="3798" w:type="pct"/>
            <w:gridSpan w:val="2"/>
          </w:tcPr>
          <w:p>
            <w:pPr>
              <w:rPr>
                <w:rFonts w:ascii="宋体" w:hAnsi="宋体"/>
                <w:szCs w:val="21"/>
              </w:rPr>
            </w:pPr>
            <w:r>
              <w:rPr>
                <w:rFonts w:hint="eastAsia" w:ascii="宋体" w:hAnsi="宋体"/>
                <w:szCs w:val="21"/>
              </w:rPr>
              <w:t>添加、修改、删除用户类别。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科室设置</w:t>
            </w:r>
          </w:p>
        </w:tc>
        <w:tc>
          <w:tcPr>
            <w:tcW w:w="3798" w:type="pct"/>
            <w:gridSpan w:val="2"/>
          </w:tcPr>
          <w:p>
            <w:pPr>
              <w:rPr>
                <w:rFonts w:ascii="宋体" w:hAnsi="宋体"/>
                <w:szCs w:val="21"/>
              </w:rPr>
            </w:pPr>
            <w:r>
              <w:rPr>
                <w:rFonts w:hint="eastAsia" w:ascii="宋体" w:hAnsi="宋体"/>
                <w:szCs w:val="21"/>
              </w:rPr>
              <w:t>添加、修改、删除科室。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职称设置</w:t>
            </w:r>
          </w:p>
        </w:tc>
        <w:tc>
          <w:tcPr>
            <w:tcW w:w="3798" w:type="pct"/>
            <w:gridSpan w:val="2"/>
          </w:tcPr>
          <w:p>
            <w:pPr>
              <w:rPr>
                <w:rFonts w:ascii="宋体" w:hAnsi="宋体"/>
                <w:szCs w:val="21"/>
              </w:rPr>
            </w:pPr>
            <w:r>
              <w:rPr>
                <w:rFonts w:hint="eastAsia" w:ascii="宋体" w:hAnsi="宋体"/>
                <w:szCs w:val="21"/>
              </w:rPr>
              <w:t>添加、修改、删除职称。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在线用户</w:t>
            </w:r>
          </w:p>
        </w:tc>
        <w:tc>
          <w:tcPr>
            <w:tcW w:w="3798" w:type="pct"/>
            <w:gridSpan w:val="2"/>
          </w:tcPr>
          <w:p>
            <w:pPr>
              <w:rPr>
                <w:rFonts w:ascii="宋体" w:hAnsi="宋体"/>
                <w:szCs w:val="21"/>
              </w:rPr>
            </w:pPr>
            <w:r>
              <w:rPr>
                <w:rFonts w:hint="eastAsia" w:ascii="宋体" w:hAnsi="宋体"/>
                <w:szCs w:val="21"/>
              </w:rPr>
              <w:t>查看当前登录用户信息（包含PC端/APP端）。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举报投诉</w:t>
            </w:r>
          </w:p>
        </w:tc>
        <w:tc>
          <w:tcPr>
            <w:tcW w:w="3798" w:type="pct"/>
            <w:gridSpan w:val="2"/>
          </w:tcPr>
          <w:p>
            <w:pPr>
              <w:rPr>
                <w:rFonts w:ascii="宋体" w:hAnsi="宋体"/>
                <w:szCs w:val="21"/>
              </w:rPr>
            </w:pPr>
            <w:r>
              <w:rPr>
                <w:rFonts w:hint="eastAsia" w:ascii="宋体" w:hAnsi="宋体"/>
                <w:szCs w:val="21"/>
              </w:rPr>
              <w:t>查看被举报人与内容，采取采纳与不采纳方式处理。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新闻公告</w:t>
            </w:r>
          </w:p>
        </w:tc>
        <w:tc>
          <w:tcPr>
            <w:tcW w:w="3798" w:type="pct"/>
            <w:gridSpan w:val="2"/>
          </w:tcPr>
          <w:p>
            <w:pPr>
              <w:rPr>
                <w:rFonts w:ascii="宋体" w:hAnsi="宋体"/>
                <w:szCs w:val="21"/>
              </w:rPr>
            </w:pPr>
            <w:r>
              <w:rPr>
                <w:rFonts w:hint="eastAsia" w:ascii="宋体" w:hAnsi="宋体"/>
                <w:szCs w:val="21"/>
              </w:rPr>
              <w:t>可以面向全院所有人员，也可以向某科室或某个人发布公告通知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在线用户</w:t>
            </w:r>
          </w:p>
        </w:tc>
        <w:tc>
          <w:tcPr>
            <w:tcW w:w="3798" w:type="pct"/>
            <w:gridSpan w:val="2"/>
          </w:tcPr>
          <w:p>
            <w:pPr>
              <w:rPr>
                <w:rFonts w:ascii="宋体" w:hAnsi="宋体"/>
                <w:szCs w:val="21"/>
              </w:rPr>
            </w:pPr>
            <w:r>
              <w:rPr>
                <w:rFonts w:hint="eastAsia" w:ascii="宋体" w:hAnsi="宋体"/>
                <w:szCs w:val="21"/>
              </w:rPr>
              <w:t>查看使用</w:t>
            </w:r>
            <w:r>
              <w:rPr>
                <w:rFonts w:ascii="宋体" w:hAnsi="宋体"/>
                <w:szCs w:val="21"/>
              </w:rPr>
              <w:t>考试系统的学习考试的人数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用户</w:t>
            </w:r>
            <w:r>
              <w:rPr>
                <w:rFonts w:ascii="宋体" w:hAnsi="宋体"/>
                <w:b/>
                <w:szCs w:val="21"/>
              </w:rPr>
              <w:t>导出</w:t>
            </w:r>
          </w:p>
        </w:tc>
        <w:tc>
          <w:tcPr>
            <w:tcW w:w="3798" w:type="pct"/>
            <w:gridSpan w:val="2"/>
          </w:tcPr>
          <w:p>
            <w:pPr>
              <w:rPr>
                <w:rFonts w:ascii="宋体" w:hAnsi="宋体"/>
                <w:szCs w:val="21"/>
              </w:rPr>
            </w:pPr>
            <w:r>
              <w:rPr>
                <w:rFonts w:hint="eastAsia" w:ascii="宋体" w:hAnsi="宋体"/>
                <w:szCs w:val="21"/>
              </w:rPr>
              <w:t>把</w:t>
            </w:r>
            <w:r>
              <w:rPr>
                <w:rFonts w:ascii="宋体" w:hAnsi="宋体"/>
                <w:szCs w:val="21"/>
              </w:rPr>
              <w:t>系统</w:t>
            </w:r>
            <w:r>
              <w:rPr>
                <w:rFonts w:hint="eastAsia" w:ascii="宋体" w:hAnsi="宋体"/>
                <w:szCs w:val="21"/>
              </w:rPr>
              <w:t>里</w:t>
            </w:r>
            <w:r>
              <w:rPr>
                <w:rFonts w:ascii="宋体" w:hAnsi="宋体"/>
                <w:szCs w:val="21"/>
              </w:rPr>
              <w:t>添加的用户信息导出Excel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55" w:type="pct"/>
            <w:vMerge w:val="continue"/>
            <w:vAlign w:val="center"/>
          </w:tcPr>
          <w:p>
            <w:pPr>
              <w:jc w:val="center"/>
              <w:rPr>
                <w:rFonts w:ascii="宋体" w:hAnsi="宋体"/>
                <w:b/>
                <w:szCs w:val="21"/>
              </w:rPr>
            </w:pPr>
          </w:p>
        </w:tc>
        <w:tc>
          <w:tcPr>
            <w:tcW w:w="545" w:type="pct"/>
            <w:vAlign w:val="center"/>
          </w:tcPr>
          <w:p>
            <w:pPr>
              <w:jc w:val="center"/>
              <w:rPr>
                <w:rFonts w:ascii="宋体" w:hAnsi="宋体"/>
                <w:b/>
                <w:szCs w:val="21"/>
              </w:rPr>
            </w:pPr>
            <w:r>
              <w:rPr>
                <w:rFonts w:hint="eastAsia" w:ascii="宋体" w:hAnsi="宋体"/>
                <w:b/>
                <w:szCs w:val="21"/>
              </w:rPr>
              <w:t>角色</w:t>
            </w:r>
            <w:r>
              <w:rPr>
                <w:rFonts w:ascii="宋体" w:hAnsi="宋体"/>
                <w:b/>
                <w:szCs w:val="21"/>
              </w:rPr>
              <w:t>管理</w:t>
            </w:r>
          </w:p>
        </w:tc>
        <w:tc>
          <w:tcPr>
            <w:tcW w:w="3798" w:type="pct"/>
            <w:gridSpan w:val="2"/>
          </w:tcPr>
          <w:p>
            <w:pPr>
              <w:rPr>
                <w:rFonts w:ascii="宋体" w:hAnsi="宋体"/>
                <w:szCs w:val="21"/>
              </w:rPr>
            </w:pPr>
            <w:r>
              <w:rPr>
                <w:rFonts w:hint="eastAsia" w:ascii="宋体" w:hAnsi="宋体"/>
                <w:szCs w:val="21"/>
              </w:rPr>
              <w:t>添加、修改、删除角色，根据</w:t>
            </w:r>
            <w:r>
              <w:rPr>
                <w:rFonts w:ascii="宋体" w:hAnsi="宋体"/>
                <w:szCs w:val="21"/>
              </w:rPr>
              <w:t>不同角色</w:t>
            </w:r>
            <w:r>
              <w:rPr>
                <w:rFonts w:hint="eastAsia" w:ascii="宋体" w:hAnsi="宋体"/>
                <w:szCs w:val="21"/>
              </w:rPr>
              <w:t>分配</w:t>
            </w:r>
            <w:r>
              <w:rPr>
                <w:rFonts w:ascii="宋体" w:hAnsi="宋体"/>
                <w:szCs w:val="21"/>
              </w:rPr>
              <w:t>权限</w:t>
            </w:r>
          </w:p>
        </w:tc>
      </w:tr>
    </w:tbl>
    <w:p>
      <w:pPr>
        <w:pStyle w:val="10"/>
        <w:spacing w:before="0" w:beforeAutospacing="0" w:after="0" w:afterAutospacing="0" w:line="360" w:lineRule="exact"/>
        <w:rPr>
          <w:rStyle w:val="14"/>
          <w:rFonts w:ascii="宋体" w:hAnsi="宋体"/>
          <w:color w:val="auto"/>
          <w:sz w:val="28"/>
          <w:szCs w:val="28"/>
          <w:u w:val="single"/>
        </w:rPr>
      </w:pPr>
    </w:p>
    <w:p>
      <w:pPr>
        <w:pStyle w:val="15"/>
        <w:spacing w:line="400" w:lineRule="exact"/>
        <w:ind w:firstLine="0" w:firstLineChars="0"/>
        <w:rPr>
          <w:rFonts w:ascii="仿宋" w:hAnsi="仿宋" w:eastAsia="仿宋" w:cs="仿宋"/>
          <w:sz w:val="24"/>
          <w:szCs w:val="24"/>
        </w:rPr>
      </w:pPr>
      <w:r>
        <w:rPr>
          <w:rFonts w:hint="eastAsia" w:ascii="仿宋" w:hAnsi="仿宋" w:eastAsia="仿宋" w:cs="仿宋"/>
          <w:sz w:val="24"/>
          <w:szCs w:val="24"/>
        </w:rPr>
        <w:t>注：★号参数为不允许偏离的实质性要求。</w:t>
      </w:r>
      <w:r>
        <w:rPr>
          <w:rFonts w:hint="eastAsia" w:ascii="微软雅黑" w:hAnsi="微软雅黑" w:eastAsia="微软雅黑" w:cs="微软雅黑"/>
          <w:sz w:val="24"/>
          <w:szCs w:val="24"/>
        </w:rPr>
        <w:t>▲</w:t>
      </w:r>
      <w:r>
        <w:rPr>
          <w:rFonts w:hint="eastAsia" w:ascii="仿宋" w:hAnsi="仿宋" w:eastAsia="仿宋" w:cs="仿宋"/>
          <w:sz w:val="24"/>
          <w:szCs w:val="24"/>
        </w:rPr>
        <w:t>号参数为现场功能演示要求。</w:t>
      </w:r>
    </w:p>
    <w:p>
      <w:pPr>
        <w:pStyle w:val="10"/>
        <w:spacing w:before="0" w:beforeAutospacing="0" w:after="0" w:afterAutospacing="0" w:line="360" w:lineRule="exact"/>
        <w:rPr>
          <w:rStyle w:val="14"/>
          <w:rFonts w:ascii="宋体" w:hAnsi="宋体"/>
          <w:color w:val="auto"/>
          <w:sz w:val="28"/>
          <w:szCs w:val="28"/>
          <w:u w:val="single"/>
        </w:rPr>
      </w:pPr>
    </w:p>
    <w:tbl>
      <w:tblPr>
        <w:tblStyle w:val="11"/>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8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231" w:type="dxa"/>
            <w:gridSpan w:val="2"/>
            <w:vAlign w:val="center"/>
          </w:tcPr>
          <w:p>
            <w:pPr>
              <w:rPr>
                <w:rFonts w:ascii="新宋体" w:eastAsia="新宋体"/>
                <w:szCs w:val="21"/>
              </w:rPr>
            </w:pPr>
            <w:r>
              <w:rPr>
                <w:rFonts w:hint="eastAsia" w:ascii="仿宋" w:hAnsi="仿宋" w:eastAsia="仿宋" w:cs="仿宋"/>
                <w:b/>
                <w:sz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规范标准</w:t>
            </w:r>
          </w:p>
        </w:tc>
        <w:tc>
          <w:tcPr>
            <w:tcW w:w="8375" w:type="dxa"/>
          </w:tcPr>
          <w:p>
            <w:pPr>
              <w:spacing w:line="360" w:lineRule="exact"/>
              <w:jc w:val="left"/>
              <w:rPr>
                <w:rFonts w:ascii="仿宋" w:hAnsi="仿宋" w:eastAsia="仿宋" w:cs="仿宋"/>
                <w:sz w:val="24"/>
              </w:rPr>
            </w:pPr>
            <w:r>
              <w:rPr>
                <w:rFonts w:hint="eastAsia" w:ascii="仿宋" w:hAnsi="仿宋" w:eastAsia="仿宋" w:cs="仿宋"/>
                <w:sz w:val="24"/>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报价要求</w:t>
            </w:r>
          </w:p>
        </w:tc>
        <w:tc>
          <w:tcPr>
            <w:tcW w:w="8375" w:type="dxa"/>
          </w:tcPr>
          <w:p>
            <w:pPr>
              <w:spacing w:line="360" w:lineRule="exact"/>
              <w:jc w:val="left"/>
              <w:rPr>
                <w:rFonts w:ascii="仿宋" w:hAnsi="仿宋" w:eastAsia="仿宋" w:cs="仿宋"/>
                <w:sz w:val="24"/>
              </w:rPr>
            </w:pPr>
            <w:r>
              <w:rPr>
                <w:rFonts w:hint="eastAsia" w:ascii="仿宋" w:hAnsi="仿宋" w:eastAsia="仿宋" w:cs="仿宋"/>
                <w:sz w:val="24"/>
              </w:rPr>
              <w:t>本项目预算控制价为99000元，软件验收合格后厂家提供一年免费运维，免费运维期过后，每年运维费用不高于合同金额的5%。报价须包含满足本次全部采购需求所应提供的服务，以及伴随的货物和工程（如有）的价格；包含：产品价格、运输费（含装卸费）、保险费、安装调试费、税费、培训费、产品检测费、产品质保期内维护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合同签订日期</w:t>
            </w:r>
          </w:p>
        </w:tc>
        <w:tc>
          <w:tcPr>
            <w:tcW w:w="8375" w:type="dxa"/>
          </w:tcPr>
          <w:p>
            <w:pPr>
              <w:spacing w:line="360" w:lineRule="exact"/>
              <w:jc w:val="left"/>
              <w:rPr>
                <w:rFonts w:ascii="仿宋" w:hAnsi="仿宋" w:eastAsia="仿宋" w:cs="仿宋"/>
                <w:sz w:val="24"/>
              </w:rPr>
            </w:pPr>
            <w:r>
              <w:rPr>
                <w:rFonts w:ascii="仿宋" w:hAnsi="仿宋" w:eastAsia="仿宋" w:cs="仿宋"/>
                <w:sz w:val="24"/>
              </w:rPr>
              <w:t>成交通知书发出后15日内。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付款方式</w:t>
            </w:r>
          </w:p>
        </w:tc>
        <w:tc>
          <w:tcPr>
            <w:tcW w:w="8375" w:type="dxa"/>
          </w:tcPr>
          <w:p>
            <w:pPr>
              <w:spacing w:line="360" w:lineRule="exact"/>
              <w:jc w:val="left"/>
              <w:rPr>
                <w:rFonts w:ascii="仿宋" w:hAnsi="仿宋" w:eastAsia="仿宋" w:cs="仿宋"/>
                <w:color w:val="FF0000"/>
                <w:sz w:val="24"/>
                <w:highlight w:val="yellow"/>
              </w:rPr>
            </w:pPr>
            <w:r>
              <w:rPr>
                <w:rFonts w:hint="eastAsia" w:ascii="仿宋" w:hAnsi="仿宋" w:eastAsia="仿宋" w:cs="仿宋"/>
                <w:sz w:val="24"/>
                <w:highlight w:val="yellow"/>
              </w:rPr>
              <w:t>合同签订后，项目实施完毕验收合格半年后</w:t>
            </w:r>
            <w:r>
              <w:rPr>
                <w:rFonts w:hint="eastAsia" w:ascii="仿宋" w:hAnsi="仿宋" w:eastAsia="仿宋" w:cs="仿宋"/>
                <w:color w:val="FF0000"/>
                <w:sz w:val="24"/>
                <w:highlight w:val="yellow"/>
              </w:rPr>
              <w:t>（以双方签订验收单的日期为计算基准）</w:t>
            </w:r>
            <w:r>
              <w:rPr>
                <w:rFonts w:hint="eastAsia" w:ascii="仿宋" w:hAnsi="仿宋" w:eastAsia="仿宋" w:cs="仿宋"/>
                <w:sz w:val="24"/>
                <w:highlight w:val="yellow"/>
              </w:rPr>
              <w:t>支付合同金额5</w:t>
            </w:r>
            <w:r>
              <w:rPr>
                <w:rFonts w:ascii="仿宋" w:hAnsi="仿宋" w:eastAsia="仿宋" w:cs="仿宋"/>
                <w:sz w:val="24"/>
                <w:highlight w:val="yellow"/>
              </w:rPr>
              <w:t>0%</w:t>
            </w:r>
            <w:r>
              <w:rPr>
                <w:rFonts w:hint="eastAsia" w:ascii="仿宋" w:hAnsi="仿宋" w:eastAsia="仿宋" w:cs="仿宋"/>
                <w:sz w:val="24"/>
                <w:highlight w:val="yellow"/>
              </w:rPr>
              <w:t>，余下5</w:t>
            </w:r>
            <w:r>
              <w:rPr>
                <w:rFonts w:ascii="仿宋" w:hAnsi="仿宋" w:eastAsia="仿宋" w:cs="仿宋"/>
                <w:sz w:val="24"/>
                <w:highlight w:val="yellow"/>
              </w:rPr>
              <w:t>0%</w:t>
            </w:r>
            <w:r>
              <w:rPr>
                <w:rFonts w:hint="eastAsia" w:ascii="仿宋" w:hAnsi="仿宋" w:eastAsia="仿宋" w:cs="仿宋"/>
                <w:sz w:val="24"/>
                <w:highlight w:val="yellow"/>
              </w:rPr>
              <w:t>于验收一年后支付。</w:t>
            </w:r>
          </w:p>
          <w:p>
            <w:pPr>
              <w:spacing w:line="360" w:lineRule="exact"/>
              <w:jc w:val="left"/>
              <w:rPr>
                <w:rFonts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交付使用期</w:t>
            </w:r>
          </w:p>
        </w:tc>
        <w:tc>
          <w:tcPr>
            <w:tcW w:w="8375" w:type="dxa"/>
          </w:tcPr>
          <w:p>
            <w:pPr>
              <w:spacing w:line="360" w:lineRule="exact"/>
              <w:jc w:val="left"/>
              <w:rPr>
                <w:rFonts w:ascii="仿宋" w:hAnsi="仿宋" w:eastAsia="仿宋" w:cs="仿宋"/>
                <w:sz w:val="24"/>
                <w:highlight w:val="yellow"/>
              </w:rPr>
            </w:pPr>
            <w:r>
              <w:rPr>
                <w:rFonts w:hint="eastAsia" w:ascii="仿宋" w:hAnsi="仿宋" w:eastAsia="仿宋" w:cs="仿宋"/>
                <w:sz w:val="24"/>
                <w:highlight w:val="yellow"/>
              </w:rPr>
              <w:t>合同签订生效后，</w:t>
            </w:r>
            <w:r>
              <w:rPr>
                <w:rFonts w:ascii="仿宋" w:hAnsi="仿宋" w:eastAsia="仿宋" w:cs="仿宋"/>
                <w:sz w:val="24"/>
                <w:highlight w:val="yellow"/>
              </w:rPr>
              <w:t>10</w:t>
            </w:r>
            <w:r>
              <w:rPr>
                <w:rFonts w:hint="eastAsia" w:ascii="仿宋" w:hAnsi="仿宋" w:eastAsia="仿宋" w:cs="仿宋"/>
                <w:sz w:val="24"/>
                <w:highlight w:val="yellow"/>
              </w:rPr>
              <w:t>个工作日内入场，</w:t>
            </w:r>
            <w:r>
              <w:rPr>
                <w:rFonts w:ascii="仿宋" w:hAnsi="仿宋" w:eastAsia="仿宋" w:cs="仿宋"/>
                <w:sz w:val="24"/>
                <w:highlight w:val="yellow"/>
              </w:rPr>
              <w:t>30</w:t>
            </w:r>
            <w:r>
              <w:rPr>
                <w:rFonts w:hint="eastAsia" w:ascii="仿宋" w:hAnsi="仿宋" w:eastAsia="仿宋" w:cs="仿宋"/>
                <w:sz w:val="24"/>
                <w:highlight w:val="yellow"/>
              </w:rPr>
              <w:t>天内系统正常上线，以试运行验收合格日期为合同履行日期。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交付地点</w:t>
            </w:r>
          </w:p>
        </w:tc>
        <w:tc>
          <w:tcPr>
            <w:tcW w:w="8375" w:type="dxa"/>
          </w:tcPr>
          <w:p>
            <w:pPr>
              <w:spacing w:line="360" w:lineRule="exact"/>
              <w:jc w:val="left"/>
              <w:rPr>
                <w:rFonts w:ascii="仿宋" w:hAnsi="仿宋" w:eastAsia="仿宋" w:cs="仿宋"/>
                <w:sz w:val="24"/>
              </w:rPr>
            </w:pPr>
            <w:r>
              <w:rPr>
                <w:rFonts w:ascii="仿宋" w:hAnsi="仿宋" w:eastAsia="仿宋" w:cs="仿宋"/>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验收标准</w:t>
            </w:r>
          </w:p>
        </w:tc>
        <w:tc>
          <w:tcPr>
            <w:tcW w:w="8375" w:type="dxa"/>
          </w:tcPr>
          <w:p>
            <w:pPr>
              <w:spacing w:line="360" w:lineRule="exact"/>
              <w:jc w:val="left"/>
              <w:rPr>
                <w:rFonts w:ascii="仿宋" w:hAnsi="仿宋" w:eastAsia="仿宋" w:cs="仿宋"/>
                <w:color w:val="FF0000"/>
                <w:sz w:val="24"/>
                <w:lang w:val="zh-TW" w:eastAsia="zh-TW"/>
              </w:rPr>
            </w:pPr>
            <w:r>
              <w:rPr>
                <w:rFonts w:hint="eastAsia" w:ascii="仿宋" w:hAnsi="仿宋" w:eastAsia="仿宋" w:cs="仿宋"/>
                <w:color w:val="FF0000"/>
                <w:sz w:val="24"/>
                <w:lang w:val="zh-TW" w:eastAsia="zh-TW"/>
              </w:rPr>
              <w:t>1.验收过程中所产生的一切费用均由中选人承担。报价时应考虑相关费用。</w:t>
            </w:r>
          </w:p>
          <w:p>
            <w:pPr>
              <w:spacing w:line="360" w:lineRule="exact"/>
              <w:jc w:val="left"/>
              <w:rPr>
                <w:rFonts w:ascii="仿宋" w:hAnsi="仿宋" w:eastAsia="仿宋" w:cs="仿宋"/>
                <w:color w:val="FF0000"/>
                <w:sz w:val="24"/>
                <w:lang w:val="zh-TW" w:eastAsia="zh-TW"/>
              </w:rPr>
            </w:pPr>
            <w:r>
              <w:rPr>
                <w:rFonts w:hint="eastAsia" w:ascii="仿宋" w:hAnsi="仿宋" w:eastAsia="仿宋" w:cs="仿宋"/>
                <w:color w:val="FF0000"/>
                <w:sz w:val="24"/>
                <w:lang w:val="zh-TW" w:eastAsia="zh-TW"/>
              </w:rPr>
              <w:t>2.中选人在货物或服务验收时由采购单位对照询价文件的功能目标及技术指标全面核对检验，对所有要求出具的证明文件的原件进行核查，如不符合询价文件的技术需求及要求以及提供虚假承诺的，按相关规定做退货处理及违约处理，中选人承担所有责任和费用，询价人保留进一步追究责任的权利。</w:t>
            </w:r>
          </w:p>
          <w:p>
            <w:pPr>
              <w:spacing w:line="360" w:lineRule="exact"/>
              <w:jc w:val="left"/>
              <w:rPr>
                <w:rFonts w:ascii="仿宋" w:hAnsi="仿宋" w:eastAsia="仿宋" w:cs="仿宋"/>
                <w:sz w:val="24"/>
              </w:rPr>
            </w:pPr>
            <w:r>
              <w:rPr>
                <w:rFonts w:hint="eastAsia" w:ascii="仿宋" w:hAnsi="仿宋" w:eastAsia="仿宋" w:cs="仿宋"/>
                <w:color w:val="FF0000"/>
                <w:sz w:val="24"/>
                <w:lang w:val="zh-TW" w:eastAsia="zh-TW"/>
              </w:rPr>
              <w:t>3.成交供应商在交货验收时必须按相关单位及相关标准提供验收资料。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质保期</w:t>
            </w:r>
          </w:p>
        </w:tc>
        <w:tc>
          <w:tcPr>
            <w:tcW w:w="8375" w:type="dxa"/>
          </w:tcPr>
          <w:p>
            <w:pPr>
              <w:spacing w:line="360" w:lineRule="exact"/>
              <w:jc w:val="left"/>
              <w:rPr>
                <w:rFonts w:ascii="仿宋" w:hAnsi="仿宋" w:eastAsia="仿宋" w:cs="仿宋"/>
                <w:sz w:val="24"/>
              </w:rPr>
            </w:pPr>
            <w:r>
              <w:rPr>
                <w:rFonts w:hint="eastAsia" w:ascii="仿宋" w:hAnsi="仿宋" w:eastAsia="仿宋" w:cs="仿宋"/>
                <w:sz w:val="24"/>
                <w:highlight w:val="yellow"/>
              </w:rPr>
              <w:t>自验收合格之日起计算不少于一年。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服务标准、期限、效率</w:t>
            </w:r>
          </w:p>
        </w:tc>
        <w:tc>
          <w:tcPr>
            <w:tcW w:w="8375" w:type="dxa"/>
          </w:tcPr>
          <w:p>
            <w:pPr>
              <w:spacing w:line="360" w:lineRule="exact"/>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中标人能提供售后维护工程师、通过远程、电话等方式为用户提供合同期内完善的售前和售后技术咨询服务；技术服务时间：提供7×8小时技术支持。</w:t>
            </w:r>
          </w:p>
          <w:p>
            <w:pPr>
              <w:spacing w:line="36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处理问题响应时间：接到采购人处理问题通知后24小时内到达采购人指定现场，8小时内解决故障并恢复系统运行。</w:t>
            </w:r>
          </w:p>
          <w:p>
            <w:pPr>
              <w:spacing w:line="360" w:lineRule="exact"/>
              <w:jc w:val="left"/>
              <w:rPr>
                <w:rFonts w:ascii="仿宋" w:hAnsi="仿宋" w:eastAsia="仿宋" w:cs="仿宋"/>
                <w:sz w:val="24"/>
              </w:rPr>
            </w:pPr>
            <w:r>
              <w:rPr>
                <w:rFonts w:hint="eastAsia" w:ascii="仿宋" w:hAnsi="仿宋" w:eastAsia="仿宋" w:cs="仿宋"/>
                <w:sz w:val="24"/>
              </w:rPr>
              <w:t>3.质保期内定期对系统进行维护和最新版本的软件升级、系统运行维护服务、数据维护服务、在线技术支持、主动式服务、快速响应等服务；质保期内出现故障，需派出技术工程师到达现场处理故障，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856" w:type="dxa"/>
          </w:tcPr>
          <w:p>
            <w:pPr>
              <w:spacing w:line="360" w:lineRule="exact"/>
              <w:jc w:val="left"/>
              <w:rPr>
                <w:rFonts w:ascii="仿宋" w:hAnsi="仿宋" w:eastAsia="仿宋" w:cs="仿宋"/>
                <w:sz w:val="24"/>
              </w:rPr>
            </w:pPr>
            <w:r>
              <w:rPr>
                <w:rFonts w:hint="eastAsia" w:ascii="仿宋" w:hAnsi="仿宋" w:eastAsia="仿宋" w:cs="仿宋"/>
                <w:sz w:val="24"/>
              </w:rPr>
              <w:t>培训</w:t>
            </w:r>
          </w:p>
        </w:tc>
        <w:tc>
          <w:tcPr>
            <w:tcW w:w="8375" w:type="dxa"/>
          </w:tcPr>
          <w:p>
            <w:pPr>
              <w:spacing w:line="360" w:lineRule="exact"/>
              <w:jc w:val="left"/>
              <w:rPr>
                <w:rFonts w:ascii="仿宋" w:hAnsi="仿宋" w:eastAsia="仿宋" w:cs="仿宋"/>
                <w:sz w:val="24"/>
              </w:rPr>
            </w:pPr>
            <w:r>
              <w:rPr>
                <w:rFonts w:hint="eastAsia" w:ascii="仿宋" w:hAnsi="仿宋" w:eastAsia="仿宋" w:cs="仿宋"/>
                <w:sz w:val="24"/>
              </w:rPr>
              <w:t>签订合同后相关工作人员提供每年不少于4次培训。供应商应提供对采购人的基本培训，使采购人使用人员熟悉掌握培训内容，熟练掌握全部功能，培训的相关费用包括在报价中，采购人不再另行支付。</w:t>
            </w:r>
          </w:p>
        </w:tc>
      </w:tr>
    </w:tbl>
    <w:p>
      <w:pPr>
        <w:spacing w:line="400" w:lineRule="exact"/>
        <w:rPr>
          <w:rFonts w:ascii="宋体" w:hAnsi="宋体" w:cs="宋体"/>
          <w:b/>
          <w:kern w:val="0"/>
          <w:sz w:val="28"/>
          <w:szCs w:val="28"/>
        </w:rPr>
      </w:pPr>
    </w:p>
    <w:p>
      <w:pPr>
        <w:pStyle w:val="5"/>
      </w:pPr>
    </w:p>
    <w:p>
      <w:pPr>
        <w:spacing w:line="360" w:lineRule="auto"/>
        <w:rPr>
          <w:rFonts w:ascii="仿宋" w:hAnsi="仿宋" w:eastAsia="仿宋"/>
          <w:sz w:val="24"/>
        </w:rPr>
      </w:pPr>
      <w:r>
        <w:rPr>
          <w:rFonts w:hint="eastAsia" w:ascii="仿宋" w:hAnsi="仿宋" w:eastAsia="仿宋"/>
          <w:sz w:val="24"/>
        </w:rPr>
        <w:t>评分办法</w:t>
      </w:r>
    </w:p>
    <w:p>
      <w:pPr>
        <w:spacing w:line="360" w:lineRule="auto"/>
        <w:rPr>
          <w:rFonts w:ascii="仿宋" w:hAnsi="仿宋" w:eastAsia="仿宋"/>
          <w:sz w:val="24"/>
        </w:rPr>
      </w:pPr>
      <w:r>
        <w:rPr>
          <w:rFonts w:hint="eastAsia" w:ascii="仿宋" w:hAnsi="仿宋" w:eastAsia="仿宋"/>
          <w:sz w:val="24"/>
        </w:rPr>
        <w:t>一、评分项</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0"/>
        <w:gridCol w:w="994"/>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889" w:type="dxa"/>
            <w:gridSpan w:val="4"/>
            <w:vAlign w:val="center"/>
          </w:tcPr>
          <w:p>
            <w:pPr>
              <w:widowControl/>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1.价格分（30分）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16" w:type="dxa"/>
            <w:vAlign w:val="center"/>
          </w:tcPr>
          <w:p>
            <w:pPr>
              <w:widowControl/>
              <w:tabs>
                <w:tab w:val="left" w:pos="420"/>
              </w:tabs>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序号</w:t>
            </w:r>
          </w:p>
        </w:tc>
        <w:tc>
          <w:tcPr>
            <w:tcW w:w="1560" w:type="dxa"/>
            <w:vAlign w:val="center"/>
          </w:tcPr>
          <w:p>
            <w:pPr>
              <w:widowControl/>
              <w:spacing w:before="156" w:beforeLines="50" w:after="156" w:afterLines="50" w:line="360" w:lineRule="auto"/>
              <w:jc w:val="center"/>
              <w:rPr>
                <w:rFonts w:ascii="仿宋" w:hAnsi="仿宋" w:eastAsia="仿宋" w:cs="仿宋"/>
                <w:kern w:val="0"/>
                <w:sz w:val="24"/>
              </w:rPr>
            </w:pPr>
            <w:r>
              <w:rPr>
                <w:rFonts w:hint="eastAsia" w:ascii="仿宋" w:hAnsi="仿宋" w:eastAsia="仿宋" w:cs="仿宋"/>
                <w:kern w:val="0"/>
                <w:sz w:val="24"/>
              </w:rPr>
              <w:t>评分因素</w:t>
            </w:r>
          </w:p>
        </w:tc>
        <w:tc>
          <w:tcPr>
            <w:tcW w:w="994" w:type="dxa"/>
            <w:vAlign w:val="center"/>
          </w:tcPr>
          <w:p>
            <w:pPr>
              <w:widowControl/>
              <w:spacing w:before="156" w:beforeLines="50" w:after="156" w:afterLines="50" w:line="360" w:lineRule="auto"/>
              <w:jc w:val="center"/>
              <w:rPr>
                <w:rFonts w:ascii="仿宋" w:hAnsi="仿宋" w:eastAsia="仿宋" w:cs="仿宋"/>
                <w:kern w:val="0"/>
                <w:sz w:val="24"/>
              </w:rPr>
            </w:pPr>
            <w:r>
              <w:rPr>
                <w:rFonts w:hint="eastAsia" w:ascii="仿宋" w:hAnsi="仿宋" w:eastAsia="仿宋" w:cs="仿宋"/>
                <w:kern w:val="0"/>
                <w:sz w:val="24"/>
              </w:rPr>
              <w:t>分值</w:t>
            </w:r>
          </w:p>
        </w:tc>
        <w:tc>
          <w:tcPr>
            <w:tcW w:w="6519" w:type="dxa"/>
          </w:tcPr>
          <w:p>
            <w:pPr>
              <w:widowControl/>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16" w:type="dxa"/>
          </w:tcPr>
          <w:p>
            <w:pPr>
              <w:tabs>
                <w:tab w:val="left" w:pos="704"/>
                <w:tab w:val="left" w:pos="846"/>
              </w:tabs>
              <w:spacing w:line="360" w:lineRule="auto"/>
              <w:rPr>
                <w:rFonts w:ascii="仿宋" w:hAnsi="仿宋" w:eastAsia="仿宋" w:cs="仿宋"/>
                <w:sz w:val="24"/>
              </w:rPr>
            </w:pPr>
            <w:r>
              <w:rPr>
                <w:rFonts w:hint="eastAsia" w:ascii="仿宋" w:hAnsi="仿宋" w:eastAsia="仿宋" w:cs="仿宋"/>
                <w:color w:val="000000"/>
                <w:sz w:val="24"/>
              </w:rPr>
              <w:t>1</w:t>
            </w:r>
          </w:p>
        </w:tc>
        <w:tc>
          <w:tcPr>
            <w:tcW w:w="1560" w:type="dxa"/>
          </w:tcPr>
          <w:p>
            <w:pPr>
              <w:spacing w:line="360" w:lineRule="auto"/>
              <w:rPr>
                <w:rFonts w:ascii="仿宋" w:hAnsi="仿宋" w:eastAsia="仿宋" w:cs="仿宋"/>
                <w:sz w:val="24"/>
              </w:rPr>
            </w:pPr>
            <w:r>
              <w:rPr>
                <w:rFonts w:hint="eastAsia" w:ascii="仿宋" w:hAnsi="仿宋" w:eastAsia="仿宋" w:cs="仿宋"/>
                <w:color w:val="000000"/>
                <w:sz w:val="24"/>
              </w:rPr>
              <w:t>价格分</w:t>
            </w:r>
          </w:p>
        </w:tc>
        <w:tc>
          <w:tcPr>
            <w:tcW w:w="994" w:type="dxa"/>
          </w:tcPr>
          <w:p>
            <w:pPr>
              <w:spacing w:line="360" w:lineRule="auto"/>
              <w:rPr>
                <w:rFonts w:hint="default" w:ascii="仿宋" w:hAnsi="仿宋" w:eastAsia="仿宋" w:cs="仿宋"/>
                <w:sz w:val="24"/>
                <w:lang w:val="en-US" w:eastAsia="zh-CN"/>
              </w:rPr>
            </w:pPr>
            <w:r>
              <w:rPr>
                <w:rFonts w:hint="eastAsia" w:ascii="仿宋" w:hAnsi="仿宋" w:eastAsia="仿宋" w:cs="仿宋"/>
                <w:color w:val="000000"/>
                <w:sz w:val="24"/>
                <w:lang w:val="en-US" w:eastAsia="zh-CN"/>
              </w:rPr>
              <w:t>40</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满足招标文件要求且投标价格最低的投标报价为评标基准价，其价格分为满分。其他投标单位的价格分统一按照下列公式计算：</w:t>
            </w:r>
          </w:p>
          <w:p>
            <w:pPr>
              <w:spacing w:line="360" w:lineRule="auto"/>
              <w:rPr>
                <w:rFonts w:hint="default" w:ascii="仿宋" w:hAnsi="仿宋" w:eastAsia="仿宋" w:cs="仿宋"/>
                <w:sz w:val="24"/>
                <w:lang w:val="en-US" w:eastAsia="zh-CN"/>
              </w:rPr>
            </w:pPr>
            <w:r>
              <w:rPr>
                <w:rFonts w:hint="eastAsia" w:ascii="仿宋" w:hAnsi="仿宋" w:eastAsia="仿宋" w:cs="仿宋"/>
                <w:kern w:val="0"/>
                <w:sz w:val="24"/>
              </w:rPr>
              <w:t>投标报价得分=(评标基准价／投标报价)×</w:t>
            </w:r>
            <w:r>
              <w:rPr>
                <w:rFonts w:hint="eastAsia" w:ascii="仿宋" w:hAnsi="仿宋" w:eastAsia="仿宋" w:cs="仿宋"/>
                <w:kern w:val="0"/>
                <w:sz w:val="24"/>
                <w:lang w:val="en-US" w:eastAsia="zh-CN"/>
              </w:rPr>
              <w:t>40</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889" w:type="dxa"/>
            <w:gridSpan w:val="4"/>
            <w:vAlign w:val="center"/>
          </w:tcPr>
          <w:p>
            <w:pPr>
              <w:spacing w:line="400" w:lineRule="exact"/>
              <w:rPr>
                <w:rFonts w:ascii="仿宋" w:hAnsi="仿宋" w:eastAsia="仿宋"/>
                <w:bCs/>
                <w:sz w:val="24"/>
              </w:rPr>
            </w:pPr>
            <w:r>
              <w:rPr>
                <w:rFonts w:hint="eastAsia" w:ascii="仿宋" w:hAnsi="仿宋" w:eastAsia="仿宋" w:cs="仿宋"/>
                <w:kern w:val="0"/>
                <w:sz w:val="24"/>
                <w:szCs w:val="20"/>
              </w:rPr>
              <w:t>2</w:t>
            </w:r>
            <w:r>
              <w:rPr>
                <w:rFonts w:hint="eastAsia" w:ascii="仿宋" w:hAnsi="仿宋" w:eastAsia="仿宋" w:cs="仿宋"/>
                <w:color w:val="000000"/>
                <w:sz w:val="24"/>
              </w:rPr>
              <w:t>.项目要求及技术需求响应分（</w:t>
            </w:r>
            <w:r>
              <w:rPr>
                <w:rFonts w:hint="eastAsia" w:ascii="仿宋" w:hAnsi="仿宋" w:eastAsia="仿宋" w:cs="仿宋"/>
                <w:color w:val="000000"/>
                <w:sz w:val="24"/>
                <w:lang w:val="en-US" w:eastAsia="zh-CN"/>
              </w:rPr>
              <w:t>26</w:t>
            </w:r>
            <w:r>
              <w:rPr>
                <w:rFonts w:hint="eastAsia" w:ascii="仿宋" w:hAnsi="仿宋" w:eastAsia="仿宋" w:cs="仿宋"/>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技术性能分</w:t>
            </w:r>
          </w:p>
        </w:tc>
        <w:tc>
          <w:tcPr>
            <w:tcW w:w="994" w:type="dxa"/>
            <w:vAlign w:val="center"/>
          </w:tcPr>
          <w:p>
            <w:pPr>
              <w:widowControl/>
              <w:spacing w:line="360" w:lineRule="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20</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产品技术参数全部满足询价要求的得满分</w:t>
            </w:r>
            <w:r>
              <w:rPr>
                <w:rFonts w:ascii="仿宋" w:hAnsi="仿宋" w:eastAsia="仿宋" w:cs="仿宋"/>
                <w:kern w:val="0"/>
                <w:sz w:val="24"/>
              </w:rPr>
              <w:t>20</w:t>
            </w:r>
            <w:r>
              <w:rPr>
                <w:rFonts w:hint="eastAsia" w:ascii="仿宋" w:hAnsi="仿宋" w:eastAsia="仿宋" w:cs="仿宋"/>
                <w:kern w:val="0"/>
                <w:sz w:val="24"/>
              </w:rPr>
              <w:t>分；参数每项负偏离扣</w:t>
            </w:r>
            <w:r>
              <w:rPr>
                <w:rFonts w:hint="eastAsia" w:ascii="仿宋" w:hAnsi="仿宋" w:eastAsia="仿宋" w:cs="仿宋"/>
                <w:kern w:val="0"/>
                <w:sz w:val="24"/>
                <w:lang w:val="en-US" w:eastAsia="zh-CN"/>
              </w:rPr>
              <w:t>1</w:t>
            </w:r>
            <w:r>
              <w:rPr>
                <w:rFonts w:hint="eastAsia" w:ascii="仿宋" w:hAnsi="仿宋" w:eastAsia="仿宋" w:cs="仿宋"/>
                <w:kern w:val="0"/>
                <w:sz w:val="24"/>
              </w:rPr>
              <w:t>分，分数扣完为止；注：不编列技术偏离表或技术偏离表与项目采购需求不实行一一对照的，扣5分。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1" w:hRule="atLeast"/>
        </w:trPr>
        <w:tc>
          <w:tcPr>
            <w:tcW w:w="816" w:type="dxa"/>
            <w:vAlign w:val="center"/>
          </w:tcPr>
          <w:p>
            <w:pPr>
              <w:widowControl/>
              <w:spacing w:line="360" w:lineRule="auto"/>
              <w:rPr>
                <w:rFonts w:ascii="仿宋" w:hAnsi="仿宋" w:eastAsia="仿宋" w:cs="仿宋"/>
                <w:kern w:val="0"/>
                <w:sz w:val="24"/>
                <w:highlight w:val="yellow"/>
              </w:rPr>
            </w:pPr>
            <w:r>
              <w:rPr>
                <w:rFonts w:hint="eastAsia" w:ascii="仿宋" w:hAnsi="仿宋" w:eastAsia="仿宋" w:cs="仿宋"/>
                <w:kern w:val="0"/>
                <w:sz w:val="24"/>
              </w:rPr>
              <w:t>2</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现场演示分</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分</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参询人对采购需求一览表中带有“</w:t>
            </w:r>
            <w:r>
              <w:rPr>
                <w:rFonts w:hint="eastAsia" w:ascii="微软雅黑" w:hAnsi="微软雅黑" w:eastAsia="微软雅黑" w:cs="微软雅黑"/>
                <w:sz w:val="24"/>
              </w:rPr>
              <w:t>▲</w:t>
            </w:r>
            <w:r>
              <w:rPr>
                <w:rFonts w:ascii="仿宋" w:hAnsi="仿宋" w:eastAsia="仿宋" w:cs="仿宋"/>
                <w:kern w:val="0"/>
                <w:sz w:val="24"/>
              </w:rPr>
              <w:t>”</w:t>
            </w:r>
            <w:r>
              <w:rPr>
                <w:rFonts w:hint="eastAsia" w:ascii="仿宋" w:hAnsi="仿宋" w:eastAsia="仿宋" w:cs="仿宋"/>
                <w:kern w:val="0"/>
                <w:sz w:val="24"/>
              </w:rPr>
              <w:t>的功能描述点进行现场演示，评委在打分前根据各参询人所进行的功能演示过程中体现的各功能的完整性、操作方便、响应快捷、安全性及演示的效果等方面进行综合评定，本项满分为</w:t>
            </w:r>
            <w:r>
              <w:rPr>
                <w:rFonts w:hint="eastAsia" w:ascii="仿宋" w:hAnsi="仿宋" w:eastAsia="仿宋" w:cs="仿宋"/>
                <w:kern w:val="0"/>
                <w:sz w:val="24"/>
                <w:lang w:val="en-US" w:eastAsia="zh-CN"/>
              </w:rPr>
              <w:t>6</w:t>
            </w:r>
            <w:r>
              <w:rPr>
                <w:rFonts w:hint="eastAsia" w:ascii="仿宋" w:hAnsi="仿宋" w:eastAsia="仿宋" w:cs="仿宋"/>
                <w:kern w:val="0"/>
                <w:sz w:val="24"/>
              </w:rPr>
              <w:t>分，每完成一项“</w:t>
            </w:r>
            <w:r>
              <w:rPr>
                <w:rFonts w:hint="eastAsia" w:ascii="微软雅黑" w:hAnsi="微软雅黑" w:eastAsia="微软雅黑" w:cs="微软雅黑"/>
                <w:sz w:val="24"/>
              </w:rPr>
              <w:t>▲</w:t>
            </w:r>
            <w:r>
              <w:rPr>
                <w:rFonts w:ascii="仿宋" w:hAnsi="仿宋" w:eastAsia="仿宋" w:cs="仿宋"/>
                <w:kern w:val="0"/>
                <w:sz w:val="24"/>
              </w:rPr>
              <w:t>”</w:t>
            </w:r>
            <w:r>
              <w:rPr>
                <w:rFonts w:hint="eastAsia" w:ascii="仿宋" w:hAnsi="仿宋" w:eastAsia="仿宋" w:cs="仿宋"/>
                <w:kern w:val="0"/>
                <w:sz w:val="24"/>
              </w:rPr>
              <w:t>的功能演示得2分。</w:t>
            </w:r>
          </w:p>
          <w:p>
            <w:pPr>
              <w:widowControl/>
              <w:spacing w:line="360" w:lineRule="auto"/>
              <w:rPr>
                <w:rFonts w:ascii="仿宋" w:hAnsi="仿宋" w:eastAsia="仿宋" w:cs="仿宋"/>
                <w:kern w:val="0"/>
                <w:sz w:val="24"/>
              </w:rPr>
            </w:pPr>
            <w:r>
              <w:rPr>
                <w:rFonts w:hint="eastAsia" w:ascii="仿宋" w:hAnsi="仿宋" w:eastAsia="仿宋" w:cs="仿宋"/>
                <w:kern w:val="0"/>
                <w:sz w:val="24"/>
              </w:rPr>
              <w:t>注：参询人未做现场演示的、无法完成演示的，或者仅用图片、演示文稿、录屏演示等成果呈现方式进行现场演示的，此项均记“0“分。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889" w:type="dxa"/>
            <w:gridSpan w:val="4"/>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3.履约能力分（</w:t>
            </w:r>
            <w:r>
              <w:rPr>
                <w:rFonts w:hint="eastAsia" w:ascii="仿宋" w:hAnsi="仿宋" w:eastAsia="仿宋" w:cs="仿宋"/>
                <w:kern w:val="0"/>
                <w:sz w:val="24"/>
                <w:lang w:val="en-US" w:eastAsia="zh-CN"/>
              </w:rPr>
              <w:t>15</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序号</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评分项目</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分值</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9"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highlight w:val="yellow"/>
              </w:rPr>
            </w:pPr>
            <w:r>
              <w:rPr>
                <w:rFonts w:hint="eastAsia" w:ascii="仿宋" w:hAnsi="仿宋" w:eastAsia="仿宋" w:cs="仿宋"/>
                <w:kern w:val="0"/>
                <w:sz w:val="24"/>
                <w:highlight w:val="yellow"/>
              </w:rPr>
              <w:t>服务能力分</w:t>
            </w:r>
          </w:p>
        </w:tc>
        <w:tc>
          <w:tcPr>
            <w:tcW w:w="994" w:type="dxa"/>
            <w:vAlign w:val="center"/>
          </w:tcPr>
          <w:p>
            <w:pPr>
              <w:widowControl/>
              <w:spacing w:line="360" w:lineRule="auto"/>
              <w:rPr>
                <w:rFonts w:ascii="仿宋" w:hAnsi="仿宋" w:eastAsia="仿宋" w:cs="仿宋"/>
                <w:kern w:val="0"/>
                <w:sz w:val="24"/>
                <w:highlight w:val="yellow"/>
              </w:rPr>
            </w:pPr>
            <w:r>
              <w:rPr>
                <w:rFonts w:hint="eastAsia" w:ascii="仿宋" w:hAnsi="仿宋" w:eastAsia="仿宋" w:cs="仿宋"/>
                <w:kern w:val="0"/>
                <w:sz w:val="24"/>
                <w:highlight w:val="yellow"/>
                <w:lang w:val="en-US" w:eastAsia="zh-CN"/>
              </w:rPr>
              <w:t>5</w:t>
            </w:r>
            <w:r>
              <w:rPr>
                <w:rFonts w:hint="eastAsia" w:ascii="仿宋" w:hAnsi="仿宋" w:eastAsia="仿宋" w:cs="仿宋"/>
                <w:kern w:val="0"/>
                <w:sz w:val="24"/>
                <w:highlight w:val="yellow"/>
              </w:rPr>
              <w:t>分</w:t>
            </w:r>
          </w:p>
        </w:tc>
        <w:tc>
          <w:tcPr>
            <w:tcW w:w="6519" w:type="dxa"/>
          </w:tcPr>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rPr>
              <w:t>投标人需为国家级软件企业，并提供软件企业证书，投时需提供软件企业证书原件以备查验，得1分</w:t>
            </w:r>
          </w:p>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rPr>
              <w:t>投标人所投产品需有相对应名称的软件著作权，投标时需提供软件著作权证书原件以备查验，得1分</w:t>
            </w:r>
          </w:p>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rPr>
              <w:t>投标人所投产品需有相对应名称的省级以上高新技术产品认证证书，投标时需提供高新技术产品认证证书原件以备查验，得1分</w:t>
            </w:r>
          </w:p>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rPr>
              <w:t>本项目所列APP与微信小程序需有投标公司相应的注册证明，投标时需提供苹果APP与微信小程序下载页面证明截图并加盖公章且需现场演示，得</w:t>
            </w:r>
            <w:r>
              <w:rPr>
                <w:rFonts w:hint="eastAsia" w:ascii="仿宋" w:hAnsi="仿宋" w:eastAsia="仿宋" w:cs="仿宋"/>
                <w:kern w:val="0"/>
                <w:sz w:val="24"/>
                <w:highlight w:val="yellow"/>
                <w:lang w:val="en-US" w:eastAsia="zh-CN"/>
              </w:rPr>
              <w:t>1</w:t>
            </w:r>
            <w:r>
              <w:rPr>
                <w:rFonts w:hint="eastAsia" w:ascii="仿宋" w:hAnsi="仿宋" w:eastAsia="仿宋" w:cs="仿宋"/>
                <w:kern w:val="0"/>
                <w:sz w:val="24"/>
                <w:highlight w:val="yellow"/>
              </w:rPr>
              <w:t>分</w:t>
            </w:r>
          </w:p>
          <w:p>
            <w:pPr>
              <w:widowControl/>
              <w:spacing w:line="360" w:lineRule="auto"/>
              <w:rPr>
                <w:rFonts w:ascii="仿宋" w:hAnsi="仿宋" w:eastAsia="仿宋" w:cs="仿宋"/>
                <w:kern w:val="0"/>
                <w:sz w:val="24"/>
                <w:highlight w:val="yellow"/>
              </w:rPr>
            </w:pPr>
            <w:r>
              <w:rPr>
                <w:rFonts w:hint="eastAsia" w:ascii="仿宋" w:hAnsi="仿宋" w:eastAsia="仿宋" w:cs="仿宋"/>
                <w:kern w:val="0"/>
                <w:sz w:val="24"/>
                <w:highlight w:val="yellow"/>
              </w:rPr>
              <w:t>获得省级专精特新企业认证书或者政府公式公告链接得</w:t>
            </w:r>
            <w:r>
              <w:rPr>
                <w:rFonts w:hint="eastAsia" w:ascii="仿宋" w:hAnsi="仿宋" w:eastAsia="仿宋" w:cs="仿宋"/>
                <w:kern w:val="0"/>
                <w:sz w:val="24"/>
                <w:highlight w:val="yellow"/>
                <w:lang w:val="en-US" w:eastAsia="zh-CN"/>
              </w:rPr>
              <w:t>1</w:t>
            </w:r>
            <w:r>
              <w:rPr>
                <w:rFonts w:hint="eastAsia" w:ascii="仿宋" w:hAnsi="仿宋" w:eastAsia="仿宋" w:cs="仿宋"/>
                <w:kern w:val="0"/>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2</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业绩分</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10分</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产品供应商或产品开发厂商自2020年以来广西同类项目的业绩每提供一个得2分，满分10分。</w:t>
            </w:r>
          </w:p>
          <w:p>
            <w:pPr>
              <w:widowControl/>
              <w:spacing w:line="360" w:lineRule="auto"/>
              <w:rPr>
                <w:rFonts w:ascii="仿宋" w:hAnsi="仿宋" w:eastAsia="仿宋" w:cs="仿宋"/>
                <w:kern w:val="0"/>
                <w:sz w:val="24"/>
              </w:rPr>
            </w:pPr>
            <w:r>
              <w:rPr>
                <w:rFonts w:hint="eastAsia" w:ascii="仿宋" w:hAnsi="仿宋" w:eastAsia="仿宋" w:cs="仿宋"/>
                <w:kern w:val="0"/>
                <w:sz w:val="24"/>
              </w:rPr>
              <w:t>注：以有效的中标（成交）通知书或合同复印件为准。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889" w:type="dxa"/>
            <w:gridSpan w:val="4"/>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4.售后服务分（</w:t>
            </w:r>
            <w:r>
              <w:rPr>
                <w:rFonts w:hint="eastAsia" w:ascii="仿宋" w:hAnsi="仿宋" w:eastAsia="仿宋" w:cs="仿宋"/>
                <w:kern w:val="0"/>
                <w:sz w:val="24"/>
                <w:lang w:val="en-US" w:eastAsia="zh-CN"/>
              </w:rPr>
              <w:t>19</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售后服务方案</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6</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一档：①售后方案详细，有具体的人员安排、服务计划，有具体的售后服务措施及相关承诺、无后续系统完善升级服务、无日常系统应用技术支持服务，得0~2分。</w:t>
            </w:r>
          </w:p>
          <w:p>
            <w:pPr>
              <w:widowControl/>
              <w:spacing w:line="360" w:lineRule="auto"/>
              <w:rPr>
                <w:rFonts w:ascii="仿宋" w:hAnsi="仿宋" w:eastAsia="仿宋" w:cs="仿宋"/>
                <w:kern w:val="0"/>
                <w:sz w:val="24"/>
              </w:rPr>
            </w:pPr>
            <w:r>
              <w:rPr>
                <w:rFonts w:hint="eastAsia" w:ascii="仿宋" w:hAnsi="仿宋" w:eastAsia="仿宋" w:cs="仿宋"/>
                <w:kern w:val="0"/>
                <w:sz w:val="24"/>
              </w:rPr>
              <w:t>二档：②售后方案有具体的人员安排、服务计划，有具体的售后服务措施及相关承诺、有后续系统完善升级服务、无日常系统应用技术支持服务，得2.1~4分。</w:t>
            </w:r>
          </w:p>
          <w:p>
            <w:pPr>
              <w:widowControl/>
              <w:spacing w:line="360" w:lineRule="auto"/>
              <w:rPr>
                <w:rFonts w:ascii="仿宋" w:hAnsi="仿宋" w:eastAsia="仿宋" w:cs="仿宋"/>
                <w:kern w:val="0"/>
                <w:sz w:val="24"/>
              </w:rPr>
            </w:pPr>
            <w:r>
              <w:rPr>
                <w:rFonts w:hint="eastAsia" w:ascii="仿宋" w:hAnsi="仿宋" w:eastAsia="仿宋" w:cs="仿宋"/>
                <w:kern w:val="0"/>
                <w:sz w:val="24"/>
              </w:rPr>
              <w:t>三档：③有售后方案，有具体的人员安排、服务计划，有具体的售后服务措施及相关承诺、有后续系统完善升级服务、有日常系统应用技术支持服务及相关承诺，得4.1~6分。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故障响应服务，分档次</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8</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①遇故障响应时间在1小时内提供远程服务，如无法解决可在6小时内到现场处置；得2分；</w:t>
            </w:r>
          </w:p>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②遇故障响应时间在20分钟以上提供远程服务，如无法解决可在4小时内到现场处置，得4分；</w:t>
            </w:r>
          </w:p>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③遇故障在20分钟内提供远程服务，如无法解决可在2小时内到现场处置，得6分；</w:t>
            </w:r>
          </w:p>
          <w:p>
            <w:pPr>
              <w:widowControl/>
              <w:spacing w:line="360" w:lineRule="auto"/>
              <w:rPr>
                <w:rFonts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4 \* GB3 </w:instrText>
            </w:r>
            <w:r>
              <w:rPr>
                <w:rFonts w:hint="eastAsia" w:ascii="仿宋" w:hAnsi="仿宋" w:eastAsia="仿宋" w:cs="仿宋"/>
                <w:kern w:val="0"/>
                <w:sz w:val="24"/>
              </w:rPr>
              <w:fldChar w:fldCharType="separate"/>
            </w:r>
            <w:r>
              <w:rPr>
                <w:rFonts w:hint="eastAsia" w:ascii="仿宋" w:hAnsi="仿宋" w:eastAsia="仿宋" w:cs="仿宋"/>
                <w:kern w:val="0"/>
                <w:sz w:val="24"/>
              </w:rPr>
              <w:t>④</w:t>
            </w:r>
            <w:r>
              <w:rPr>
                <w:rFonts w:hint="eastAsia" w:ascii="仿宋" w:hAnsi="仿宋" w:eastAsia="仿宋" w:cs="仿宋"/>
                <w:kern w:val="0"/>
                <w:sz w:val="24"/>
              </w:rPr>
              <w:fldChar w:fldCharType="end"/>
            </w:r>
            <w:r>
              <w:rPr>
                <w:rFonts w:hint="eastAsia" w:ascii="仿宋" w:hAnsi="仿宋" w:eastAsia="仿宋" w:cs="仿宋"/>
                <w:kern w:val="0"/>
                <w:sz w:val="24"/>
              </w:rPr>
              <w:t>遇故障在20分钟内提供远程服务，如无法解决可在1小时内到现场处置，得8分；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免费巡检维保服务分</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3</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①质保期内提供到现场免费巡检维保服务，一年2次的，得1分；</w:t>
            </w:r>
          </w:p>
          <w:p>
            <w:pPr>
              <w:widowControl/>
              <w:spacing w:line="360" w:lineRule="auto"/>
              <w:rPr>
                <w:rFonts w:ascii="仿宋" w:hAnsi="仿宋" w:eastAsia="仿宋" w:cs="仿宋"/>
                <w:kern w:val="0"/>
                <w:sz w:val="24"/>
              </w:rPr>
            </w:pPr>
            <w:r>
              <w:rPr>
                <w:rFonts w:hint="eastAsia" w:ascii="仿宋" w:hAnsi="仿宋" w:eastAsia="仿宋" w:cs="仿宋"/>
                <w:kern w:val="0"/>
                <w:sz w:val="24"/>
              </w:rPr>
              <w:t>②质保期内提供到现场免费巡检维保服务，一年3次的，得2分；</w:t>
            </w:r>
          </w:p>
          <w:p>
            <w:pPr>
              <w:widowControl/>
              <w:spacing w:line="360" w:lineRule="auto"/>
              <w:rPr>
                <w:rFonts w:ascii="仿宋" w:hAnsi="仿宋" w:eastAsia="仿宋" w:cs="仿宋"/>
                <w:kern w:val="0"/>
                <w:sz w:val="24"/>
              </w:rPr>
            </w:pPr>
            <w:r>
              <w:rPr>
                <w:rFonts w:hint="eastAsia" w:ascii="仿宋" w:hAnsi="仿宋" w:eastAsia="仿宋" w:cs="仿宋"/>
                <w:kern w:val="0"/>
                <w:sz w:val="24"/>
              </w:rPr>
              <w:t>③质保期内提供到现场免费巡检维保服务，一年4次的，得3分。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售后免费质保：</w:t>
            </w:r>
          </w:p>
        </w:tc>
        <w:tc>
          <w:tcPr>
            <w:tcW w:w="994" w:type="dxa"/>
            <w:vAlign w:val="center"/>
          </w:tcPr>
          <w:p>
            <w:pPr>
              <w:widowControl/>
              <w:spacing w:line="360" w:lineRule="auto"/>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软件部分提供免费服务的质保时间超过1年以上的，每增加1年，得1分，总分3分。</w:t>
            </w:r>
          </w:p>
          <w:p>
            <w:pPr>
              <w:widowControl/>
              <w:spacing w:line="360" w:lineRule="auto"/>
              <w:rPr>
                <w:rFonts w:ascii="仿宋" w:hAnsi="仿宋" w:eastAsia="仿宋" w:cs="仿宋"/>
                <w:kern w:val="0"/>
                <w:sz w:val="24"/>
              </w:rPr>
            </w:pPr>
          </w:p>
        </w:tc>
      </w:tr>
    </w:tbl>
    <w:p>
      <w:pPr>
        <w:spacing w:line="400" w:lineRule="exact"/>
        <w:rPr>
          <w:rFonts w:ascii="宋体" w:hAnsi="宋体" w:cs="宋体"/>
          <w:b/>
          <w:kern w:val="0"/>
          <w:sz w:val="28"/>
          <w:szCs w:val="28"/>
        </w:rPr>
      </w:pPr>
    </w:p>
    <w:p>
      <w:pPr>
        <w:spacing w:line="360" w:lineRule="auto"/>
        <w:rPr>
          <w:rFonts w:ascii="仿宋" w:hAnsi="仿宋" w:eastAsia="仿宋"/>
          <w:b/>
          <w:sz w:val="24"/>
        </w:rPr>
      </w:pPr>
      <w:bookmarkStart w:id="0" w:name="_Toc4875"/>
      <w:r>
        <w:rPr>
          <w:rFonts w:hint="eastAsia" w:ascii="仿宋" w:hAnsi="仿宋" w:eastAsia="仿宋"/>
          <w:b/>
          <w:sz w:val="24"/>
        </w:rPr>
        <w:t>二</w:t>
      </w:r>
      <w:r>
        <w:rPr>
          <w:rFonts w:ascii="仿宋" w:hAnsi="仿宋" w:eastAsia="仿宋"/>
          <w:b/>
          <w:sz w:val="24"/>
        </w:rPr>
        <w:t>、</w:t>
      </w:r>
      <w:r>
        <w:rPr>
          <w:rFonts w:hint="eastAsia" w:ascii="仿宋" w:hAnsi="仿宋" w:eastAsia="仿宋"/>
          <w:b/>
          <w:sz w:val="24"/>
          <w:lang w:val="en-US" w:eastAsia="zh-CN"/>
        </w:rPr>
        <w:t>综合评选</w:t>
      </w:r>
      <w:r>
        <w:rPr>
          <w:rFonts w:ascii="仿宋" w:hAnsi="仿宋" w:eastAsia="仿宋"/>
          <w:b/>
          <w:sz w:val="24"/>
        </w:rPr>
        <w:t>推荐原则</w:t>
      </w:r>
      <w:bookmarkEnd w:id="0"/>
    </w:p>
    <w:p>
      <w:pPr>
        <w:spacing w:line="400" w:lineRule="exact"/>
        <w:ind w:firstLine="480" w:firstLineChars="200"/>
        <w:rPr>
          <w:rFonts w:hint="eastAsia" w:ascii="仿宋" w:hAnsi="仿宋" w:eastAsia="仿宋"/>
          <w:bCs/>
          <w:sz w:val="24"/>
          <w:lang w:val="en-US" w:eastAsia="zh-CN"/>
        </w:rPr>
      </w:pPr>
      <w:r>
        <w:rPr>
          <w:rFonts w:hint="eastAsia" w:ascii="仿宋" w:hAnsi="仿宋" w:eastAsia="仿宋"/>
          <w:bCs/>
          <w:sz w:val="24"/>
          <w:lang w:val="en-US" w:eastAsia="zh-CN"/>
        </w:rPr>
        <w:t>（一）综合评选委员会由医院院内人员组成，评选委员会根据综合得分由高到低排序，若得分相同时，按评选报价由低到高排序；若仍相同的，依次按照技术参数分、综合信誉分、服务承诺分由高到低排序。</w:t>
      </w:r>
    </w:p>
    <w:p>
      <w:pPr>
        <w:pStyle w:val="2"/>
        <w:rPr>
          <w:rFonts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（二）采购人将以排名第一的参询报价、参数等内容为主要参照，送第三方招标代理公开招标。</w:t>
      </w:r>
    </w:p>
    <w:p>
      <w:pPr>
        <w:spacing w:line="400" w:lineRule="exact"/>
        <w:ind w:firstLine="480" w:firstLineChars="200"/>
        <w:rPr>
          <w:rFonts w:ascii="仿宋" w:hAnsi="仿宋" w:eastAsia="仿宋"/>
          <w:bCs/>
          <w:sz w:val="24"/>
        </w:rPr>
      </w:pPr>
      <w:r>
        <w:rPr>
          <w:rFonts w:hint="eastAsia" w:ascii="仿宋" w:hAnsi="仿宋" w:eastAsia="仿宋"/>
          <w:bCs/>
          <w:sz w:val="24"/>
          <w:lang w:val="en-US" w:eastAsia="zh-CN"/>
        </w:rPr>
        <w:t>（三</w:t>
      </w:r>
      <w:r>
        <w:rPr>
          <w:rFonts w:ascii="仿宋" w:hAnsi="仿宋" w:eastAsia="仿宋"/>
          <w:bCs/>
          <w:sz w:val="24"/>
        </w:rPr>
        <w:t>）</w:t>
      </w:r>
      <w:r>
        <w:rPr>
          <w:rFonts w:hint="eastAsia" w:ascii="仿宋" w:hAnsi="仿宋" w:eastAsia="仿宋"/>
          <w:bCs/>
          <w:sz w:val="24"/>
          <w:lang w:val="en-US" w:eastAsia="zh-CN"/>
        </w:rPr>
        <w:t>评选委员会</w:t>
      </w:r>
      <w:r>
        <w:rPr>
          <w:rFonts w:ascii="仿宋" w:hAnsi="仿宋" w:eastAsia="仿宋"/>
          <w:bCs/>
          <w:sz w:val="24"/>
        </w:rPr>
        <w:t>认为</w:t>
      </w:r>
      <w:r>
        <w:rPr>
          <w:rFonts w:hint="eastAsia" w:ascii="仿宋" w:hAnsi="仿宋" w:eastAsia="仿宋"/>
          <w:bCs/>
          <w:sz w:val="24"/>
          <w:lang w:val="en-US" w:eastAsia="zh-CN"/>
        </w:rPr>
        <w:t>参询</w:t>
      </w:r>
      <w:r>
        <w:rPr>
          <w:rFonts w:ascii="仿宋" w:hAnsi="仿宋" w:eastAsia="仿宋"/>
          <w:bCs/>
          <w:sz w:val="24"/>
        </w:rPr>
        <w:t>供应商的报价明显低于其他通过符合性审查供应商的报价，有可能影响产品质量</w:t>
      </w:r>
      <w:r>
        <w:rPr>
          <w:rFonts w:hint="eastAsia" w:ascii="仿宋" w:hAnsi="仿宋" w:eastAsia="仿宋"/>
          <w:bCs/>
          <w:sz w:val="24"/>
        </w:rPr>
        <w:t>及服务质量</w:t>
      </w:r>
      <w:r>
        <w:rPr>
          <w:rFonts w:ascii="仿宋" w:hAnsi="仿宋" w:eastAsia="仿宋"/>
          <w:bCs/>
          <w:sz w:val="24"/>
        </w:rPr>
        <w:t>或者不能诚信履约的，应当要求其在</w:t>
      </w:r>
      <w:r>
        <w:rPr>
          <w:rFonts w:hint="eastAsia" w:ascii="仿宋" w:hAnsi="仿宋" w:eastAsia="仿宋"/>
          <w:bCs/>
          <w:sz w:val="24"/>
          <w:lang w:val="en-US" w:eastAsia="zh-CN"/>
        </w:rPr>
        <w:t>询价</w:t>
      </w:r>
      <w:r>
        <w:rPr>
          <w:rFonts w:ascii="仿宋" w:hAnsi="仿宋" w:eastAsia="仿宋"/>
          <w:bCs/>
          <w:sz w:val="24"/>
        </w:rPr>
        <w:t>合理的时间内提供书面说明，必要时提交相关证明材料；供应商不能证明其报价合理性的，</w:t>
      </w:r>
      <w:r>
        <w:rPr>
          <w:rFonts w:hint="eastAsia" w:ascii="仿宋" w:hAnsi="仿宋" w:eastAsia="仿宋"/>
          <w:bCs/>
          <w:sz w:val="24"/>
          <w:lang w:val="en-US" w:eastAsia="zh-CN"/>
        </w:rPr>
        <w:t>评选委员会</w:t>
      </w:r>
      <w:r>
        <w:rPr>
          <w:rFonts w:ascii="仿宋" w:hAnsi="仿宋" w:eastAsia="仿宋"/>
          <w:bCs/>
          <w:sz w:val="24"/>
        </w:rPr>
        <w:t>应当将其作为无效</w:t>
      </w:r>
      <w:r>
        <w:rPr>
          <w:rFonts w:hint="eastAsia" w:ascii="仿宋" w:hAnsi="仿宋" w:eastAsia="仿宋"/>
          <w:bCs/>
          <w:sz w:val="24"/>
          <w:lang w:val="en-US" w:eastAsia="zh-CN"/>
        </w:rPr>
        <w:t>询价</w:t>
      </w:r>
      <w:r>
        <w:rPr>
          <w:rFonts w:ascii="仿宋" w:hAnsi="仿宋" w:eastAsia="仿宋"/>
          <w:bCs/>
          <w:sz w:val="24"/>
        </w:rPr>
        <w:t>处理。</w:t>
      </w:r>
    </w:p>
    <w:p>
      <w:pPr>
        <w:spacing w:line="400" w:lineRule="exact"/>
        <w:rPr>
          <w:rFonts w:ascii="宋体" w:hAnsi="宋体" w:cs="宋体"/>
          <w:b/>
          <w:kern w:val="0"/>
          <w:sz w:val="28"/>
          <w:szCs w:val="28"/>
        </w:rPr>
      </w:pPr>
    </w:p>
    <w:p>
      <w:pPr>
        <w:spacing w:line="400" w:lineRule="exact"/>
        <w:rPr>
          <w:rFonts w:ascii="宋体" w:hAnsi="宋体" w:cs="宋体"/>
          <w:b/>
          <w:kern w:val="0"/>
          <w:sz w:val="28"/>
          <w:szCs w:val="28"/>
        </w:rPr>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4E053"/>
    <w:multiLevelType w:val="singleLevel"/>
    <w:tmpl w:val="9B84E0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MTQ2M2JmOGJiZTA0MzY5NjQwNTJlZmFiNGQ0YjcifQ=="/>
  </w:docVars>
  <w:rsids>
    <w:rsidRoot w:val="602172B6"/>
    <w:rsid w:val="00016AA0"/>
    <w:rsid w:val="00041FD0"/>
    <w:rsid w:val="00182B97"/>
    <w:rsid w:val="001B5255"/>
    <w:rsid w:val="00350CB0"/>
    <w:rsid w:val="00365F5C"/>
    <w:rsid w:val="00420C44"/>
    <w:rsid w:val="00483FA7"/>
    <w:rsid w:val="00531DDD"/>
    <w:rsid w:val="00633D3E"/>
    <w:rsid w:val="00646905"/>
    <w:rsid w:val="006D561E"/>
    <w:rsid w:val="007C6D60"/>
    <w:rsid w:val="00801463"/>
    <w:rsid w:val="00835D0B"/>
    <w:rsid w:val="009E6E05"/>
    <w:rsid w:val="00B84FC0"/>
    <w:rsid w:val="00CB20DB"/>
    <w:rsid w:val="00D025A7"/>
    <w:rsid w:val="00D70FC8"/>
    <w:rsid w:val="00EA2237"/>
    <w:rsid w:val="00EE2C66"/>
    <w:rsid w:val="047C599F"/>
    <w:rsid w:val="0BAF0509"/>
    <w:rsid w:val="0C566640"/>
    <w:rsid w:val="22D239E7"/>
    <w:rsid w:val="329F5F65"/>
    <w:rsid w:val="32B753B3"/>
    <w:rsid w:val="34CA77B1"/>
    <w:rsid w:val="36364D02"/>
    <w:rsid w:val="3FC165DA"/>
    <w:rsid w:val="41E129E5"/>
    <w:rsid w:val="42730DA1"/>
    <w:rsid w:val="462140BB"/>
    <w:rsid w:val="478B41B5"/>
    <w:rsid w:val="535F5173"/>
    <w:rsid w:val="57DD30BD"/>
    <w:rsid w:val="5E4B2AA0"/>
    <w:rsid w:val="602172B6"/>
    <w:rsid w:val="63DB0CFB"/>
    <w:rsid w:val="67A82C23"/>
    <w:rsid w:val="682D7860"/>
    <w:rsid w:val="6D68758C"/>
    <w:rsid w:val="6D8F65C6"/>
    <w:rsid w:val="72F74C61"/>
    <w:rsid w:val="74AD3E60"/>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9"/>
    <w:pPr>
      <w:keepNext/>
      <w:keepLines/>
      <w:tabs>
        <w:tab w:val="left" w:pos="1284"/>
      </w:tabs>
      <w:spacing w:before="280" w:after="290" w:line="372" w:lineRule="auto"/>
      <w:ind w:left="1284" w:hanging="864"/>
      <w:outlineLvl w:val="3"/>
    </w:pPr>
    <w:rPr>
      <w:rFonts w:ascii="Arial" w:hAnsi="Arial" w:eastAsia="黑体" w:cs="Arial"/>
      <w:b/>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4">
    <w:name w:val="annotation text"/>
    <w:basedOn w:val="1"/>
    <w:qFormat/>
    <w:uiPriority w:val="0"/>
    <w:pPr>
      <w:jc w:val="left"/>
    </w:pPr>
  </w:style>
  <w:style w:type="paragraph" w:styleId="5">
    <w:name w:val="Body Text"/>
    <w:basedOn w:val="1"/>
    <w:qFormat/>
    <w:uiPriority w:val="0"/>
    <w:rPr>
      <w:b/>
      <w:bCs/>
      <w:sz w:val="44"/>
      <w:szCs w:val="20"/>
    </w:rPr>
  </w:style>
  <w:style w:type="paragraph" w:styleId="6">
    <w:name w:val="Plain Text"/>
    <w:basedOn w:val="1"/>
    <w:next w:val="1"/>
    <w:qFormat/>
    <w:uiPriority w:val="0"/>
    <w:rPr>
      <w:rFonts w:ascii="宋体" w:hAnsi="宋体" w:cs="Courier New"/>
      <w:kern w:val="1"/>
      <w:szCs w:val="21"/>
    </w:rPr>
  </w:style>
  <w:style w:type="paragraph" w:styleId="7">
    <w:name w:val="Balloon Text"/>
    <w:basedOn w:val="1"/>
    <w:link w:val="18"/>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13">
    <w:name w:val="annotation reference"/>
    <w:basedOn w:val="12"/>
    <w:qFormat/>
    <w:uiPriority w:val="0"/>
    <w:rPr>
      <w:sz w:val="21"/>
      <w:szCs w:val="21"/>
    </w:rPr>
  </w:style>
  <w:style w:type="character" w:customStyle="1" w:styleId="14">
    <w:name w:val="9fontline1"/>
    <w:qFormat/>
    <w:uiPriority w:val="0"/>
    <w:rPr>
      <w:rFonts w:hint="default" w:ascii="_x000B__x000C_" w:hAnsi="_x000B__x000C_"/>
      <w:color w:val="000000"/>
      <w:sz w:val="20"/>
    </w:rPr>
  </w:style>
  <w:style w:type="paragraph" w:styleId="15">
    <w:name w:val="List Paragraph"/>
    <w:basedOn w:val="1"/>
    <w:qFormat/>
    <w:uiPriority w:val="0"/>
    <w:pPr>
      <w:ind w:firstLine="420" w:firstLineChars="200"/>
    </w:pPr>
    <w:rPr>
      <w:rFonts w:ascii="Calibri" w:hAnsi="Calibri"/>
      <w:szCs w:val="22"/>
    </w:rPr>
  </w:style>
  <w:style w:type="character" w:customStyle="1" w:styleId="16">
    <w:name w:val="页眉 字符"/>
    <w:basedOn w:val="12"/>
    <w:link w:val="9"/>
    <w:qFormat/>
    <w:uiPriority w:val="0"/>
    <w:rPr>
      <w:rFonts w:ascii="Times New Roman" w:hAnsi="Times New Roman" w:eastAsia="宋体" w:cs="Times New Roman"/>
      <w:kern w:val="2"/>
      <w:sz w:val="18"/>
      <w:szCs w:val="18"/>
    </w:rPr>
  </w:style>
  <w:style w:type="character" w:customStyle="1" w:styleId="17">
    <w:name w:val="页脚 字符"/>
    <w:basedOn w:val="12"/>
    <w:link w:val="8"/>
    <w:qFormat/>
    <w:uiPriority w:val="0"/>
    <w:rPr>
      <w:rFonts w:ascii="Times New Roman" w:hAnsi="Times New Roman" w:eastAsia="宋体" w:cs="Times New Roman"/>
      <w:kern w:val="2"/>
      <w:sz w:val="18"/>
      <w:szCs w:val="18"/>
    </w:rPr>
  </w:style>
  <w:style w:type="character" w:customStyle="1" w:styleId="18">
    <w:name w:val="批注框文本 字符"/>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5732</Words>
  <Characters>5865</Characters>
  <Lines>44</Lines>
  <Paragraphs>12</Paragraphs>
  <TotalTime>10</TotalTime>
  <ScaleCrop>false</ScaleCrop>
  <LinksUpToDate>false</LinksUpToDate>
  <CharactersWithSpaces>5886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2023-03-19T23:44:00Z</dcterms:created>
  <dc:creator>elioy</dc:creator>
  <cp:lastModifiedBy>elioy</cp:lastModifiedBy>
  <dcterms:modified xsi:type="dcterms:W3CDTF">2023-04-26T07:57:44Z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04B59B57BC7E457188C7ECEBEEF0EFF6_13</vt:lpwstr>
  </property>
</Properties>
</file>