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b/>
          <w:bCs/>
          <w:sz w:val="28"/>
          <w:szCs w:val="28"/>
        </w:rPr>
      </w:pPr>
      <w:r>
        <w:rPr>
          <w:rFonts w:hint="eastAsia"/>
          <w:b/>
          <w:bCs/>
          <w:sz w:val="28"/>
          <w:szCs w:val="28"/>
        </w:rPr>
        <w:t>附件</w:t>
      </w:r>
    </w:p>
    <w:p>
      <w:pPr>
        <w:spacing w:line="400" w:lineRule="exact"/>
        <w:rPr>
          <w:rStyle w:val="12"/>
          <w:rFonts w:hint="eastAsia" w:ascii="宋体" w:hAnsi="宋体" w:cs="宋体"/>
          <w:b/>
          <w:color w:val="auto"/>
          <w:kern w:val="0"/>
          <w:sz w:val="28"/>
          <w:szCs w:val="28"/>
        </w:rPr>
      </w:pPr>
      <w:r>
        <w:rPr>
          <w:rFonts w:hint="eastAsia"/>
          <w:b/>
          <w:bCs/>
          <w:sz w:val="28"/>
          <w:szCs w:val="28"/>
        </w:rPr>
        <w:t>电子图书馆</w:t>
      </w:r>
      <w:r>
        <w:rPr>
          <w:rFonts w:hint="eastAsia" w:ascii="宋体" w:hAnsi="宋体" w:cs="宋体"/>
          <w:b/>
          <w:kern w:val="0"/>
          <w:sz w:val="28"/>
          <w:szCs w:val="28"/>
        </w:rPr>
        <w:t>项目清单</w:t>
      </w:r>
    </w:p>
    <w:tbl>
      <w:tblPr>
        <w:tblStyle w:val="9"/>
        <w:tblW w:w="477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8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blHeader/>
        </w:trPr>
        <w:tc>
          <w:tcPr>
            <w:tcW w:w="937" w:type="pct"/>
            <w:shd w:val="clear" w:color="auto" w:fill="DCE6F2"/>
            <w:vAlign w:val="center"/>
          </w:tcPr>
          <w:p>
            <w:pPr>
              <w:jc w:val="center"/>
              <w:rPr>
                <w:rFonts w:ascii="宋体" w:hAnsi="宋体" w:cs="宋体"/>
                <w:b/>
                <w:bCs/>
                <w:sz w:val="24"/>
              </w:rPr>
            </w:pPr>
            <w:r>
              <w:rPr>
                <w:rFonts w:hint="eastAsia" w:ascii="宋体" w:hAnsi="宋体" w:cs="宋体"/>
                <w:b/>
                <w:bCs/>
                <w:sz w:val="24"/>
              </w:rPr>
              <w:t>项目名称</w:t>
            </w:r>
          </w:p>
        </w:tc>
        <w:tc>
          <w:tcPr>
            <w:tcW w:w="4062" w:type="pct"/>
            <w:shd w:val="clear" w:color="auto" w:fill="DCE6F2"/>
            <w:vAlign w:val="center"/>
          </w:tcPr>
          <w:p>
            <w:pPr>
              <w:jc w:val="center"/>
              <w:rPr>
                <w:rFonts w:ascii="宋体" w:hAnsi="宋体" w:cs="宋体"/>
                <w:b/>
                <w:bCs/>
                <w:sz w:val="24"/>
              </w:rPr>
            </w:pPr>
            <w:r>
              <w:rPr>
                <w:rFonts w:hint="eastAsia" w:ascii="宋体" w:hAnsi="宋体" w:cs="宋体"/>
                <w:b/>
                <w:bCs/>
                <w:sz w:val="24"/>
              </w:rPr>
              <w:t>技术参数要求及服务内容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0" w:hRule="atLeast"/>
        </w:trPr>
        <w:tc>
          <w:tcPr>
            <w:tcW w:w="937" w:type="pct"/>
            <w:vAlign w:val="center"/>
          </w:tcPr>
          <w:p>
            <w:pPr>
              <w:jc w:val="center"/>
              <w:rPr>
                <w:rFonts w:ascii="宋体" w:hAnsi="宋体" w:eastAsia="楷体" w:cs="宋体"/>
                <w:b/>
                <w:szCs w:val="21"/>
              </w:rPr>
            </w:pPr>
            <w:r>
              <w:rPr>
                <w:rFonts w:hint="eastAsia"/>
                <w:b/>
                <w:bCs/>
                <w:sz w:val="28"/>
                <w:szCs w:val="28"/>
              </w:rPr>
              <w:t>电子图书馆</w:t>
            </w:r>
          </w:p>
        </w:tc>
        <w:tc>
          <w:tcPr>
            <w:tcW w:w="4062" w:type="pct"/>
          </w:tcPr>
          <w:p>
            <w:pPr>
              <w:pStyle w:val="5"/>
              <w:spacing w:line="276" w:lineRule="auto"/>
              <w:rPr>
                <w:rFonts w:cs="宋体"/>
                <w:b/>
              </w:rPr>
            </w:pPr>
            <w:r>
              <w:rPr>
                <w:rFonts w:hint="eastAsia" w:cs="宋体"/>
                <w:b/>
              </w:rPr>
              <w:t>一、总体需求：</w:t>
            </w:r>
          </w:p>
          <w:p>
            <w:pPr>
              <w:pStyle w:val="5"/>
              <w:numPr>
                <w:ilvl w:val="0"/>
                <w:numId w:val="1"/>
              </w:numPr>
              <w:adjustRightInd w:val="0"/>
              <w:snapToGrid w:val="0"/>
              <w:spacing w:line="360" w:lineRule="auto"/>
            </w:pPr>
            <w:r>
              <w:rPr>
                <w:rFonts w:hint="eastAsia"/>
              </w:rPr>
              <w:t>中文文献数据库须满足临床科研教学要求，包含中文期刊、外文期刊、学位论文、会议论文、临床指南、医学视频、</w:t>
            </w:r>
            <w:r>
              <w:rPr>
                <w:rFonts w:hint="eastAsia" w:cs="宋体"/>
              </w:rPr>
              <w:t>提供专利、标准、科技成果、法律法规</w:t>
            </w:r>
            <w:r>
              <w:rPr>
                <w:rFonts w:hint="eastAsia"/>
              </w:rPr>
              <w:t>。</w:t>
            </w:r>
          </w:p>
          <w:p>
            <w:pPr>
              <w:pStyle w:val="5"/>
              <w:numPr>
                <w:ilvl w:val="0"/>
                <w:numId w:val="1"/>
              </w:numPr>
              <w:adjustRightInd w:val="0"/>
              <w:snapToGrid w:val="0"/>
              <w:spacing w:line="360" w:lineRule="auto"/>
            </w:pPr>
            <w:r>
              <w:rPr>
                <w:rFonts w:hint="eastAsia" w:ascii="微软雅黑" w:hAnsi="微软雅黑" w:eastAsia="微软雅黑" w:cs="微软雅黑"/>
                <w:sz w:val="24"/>
                <w:szCs w:val="24"/>
              </w:rPr>
              <w:t>▲</w:t>
            </w:r>
            <w:r>
              <w:rPr>
                <w:rFonts w:hint="eastAsia"/>
              </w:rPr>
              <w:t>采取国际通用PDF格式阅读软件，</w:t>
            </w:r>
            <w:r>
              <w:rPr>
                <w:rFonts w:hint="eastAsia" w:cs="宋体"/>
                <w:kern w:val="2"/>
              </w:rPr>
              <w:t>须具有在线阅读、下载、打印等功能。</w:t>
            </w:r>
          </w:p>
          <w:p>
            <w:pPr>
              <w:pStyle w:val="5"/>
              <w:numPr>
                <w:ilvl w:val="0"/>
                <w:numId w:val="1"/>
              </w:numPr>
              <w:spacing w:line="276" w:lineRule="auto"/>
              <w:rPr>
                <w:rFonts w:cs="宋体"/>
              </w:rPr>
            </w:pPr>
            <w:r>
              <w:rPr>
                <w:rFonts w:hint="eastAsia" w:cs="Arial"/>
              </w:rPr>
              <w:t>投标产品必须具有著作权证书、厂商必须具有</w:t>
            </w:r>
            <w:r>
              <w:rPr>
                <w:rFonts w:hint="eastAsia"/>
              </w:rPr>
              <w:t>互联网出版许可证、出版物经营许可证、电信与信息服务业务经营许可证等具备履约的证明</w:t>
            </w:r>
            <w:r>
              <w:rPr>
                <w:rFonts w:hint="eastAsia" w:cs="宋体"/>
              </w:rPr>
              <w:t>。</w:t>
            </w:r>
          </w:p>
          <w:p>
            <w:pPr>
              <w:pStyle w:val="5"/>
              <w:spacing w:line="276" w:lineRule="auto"/>
              <w:rPr>
                <w:rFonts w:cs="宋体"/>
                <w:b/>
              </w:rPr>
            </w:pPr>
            <w:r>
              <w:rPr>
                <w:rFonts w:hint="eastAsia" w:cs="宋体"/>
                <w:b/>
              </w:rPr>
              <w:t>二、功能需求：</w:t>
            </w:r>
          </w:p>
          <w:p>
            <w:pPr>
              <w:ind w:firstLine="422" w:firstLineChars="200"/>
              <w:rPr>
                <w:rFonts w:cs="Courier New"/>
                <w:b/>
                <w:bCs/>
                <w:szCs w:val="21"/>
              </w:rPr>
            </w:pPr>
            <w:r>
              <w:rPr>
                <w:rFonts w:hint="eastAsia" w:cs="宋体"/>
                <w:b/>
              </w:rPr>
              <w:t>1.</w:t>
            </w:r>
            <w:r>
              <w:rPr>
                <w:rFonts w:hint="eastAsia" w:cs="Courier New"/>
                <w:b/>
                <w:bCs/>
                <w:szCs w:val="21"/>
              </w:rPr>
              <w:t>中文期刊</w:t>
            </w:r>
          </w:p>
          <w:p>
            <w:pPr>
              <w:rPr>
                <w:rFonts w:ascii="宋体" w:hAnsi="宋体" w:cs="Courier New"/>
                <w:szCs w:val="21"/>
              </w:rPr>
            </w:pPr>
            <w:r>
              <w:rPr>
                <w:rFonts w:cs="宋体"/>
              </w:rPr>
              <w:t>1.1</w:t>
            </w:r>
            <w:r>
              <w:rPr>
                <w:rFonts w:hint="eastAsia" w:cs="宋体"/>
              </w:rPr>
              <w:t>、支持多种检索途径，包括关键词检索、高级检索、医学主题词规范检索、科室及分类限定检索、字段限定检索、链接检索、二次</w:t>
            </w:r>
            <w:r>
              <w:rPr>
                <w:rFonts w:hint="eastAsia" w:hAnsi="宋体" w:cs="宋体"/>
              </w:rPr>
              <w:t>检索等检索方式。</w:t>
            </w:r>
          </w:p>
          <w:p>
            <w:pPr>
              <w:rPr>
                <w:rFonts w:hAnsi="宋体" w:cs="宋体"/>
              </w:rPr>
            </w:pPr>
            <w:r>
              <w:rPr>
                <w:rFonts w:hint="eastAsia" w:hAnsi="宋体" w:cs="宋体"/>
              </w:rPr>
              <w:t>1</w:t>
            </w:r>
            <w:r>
              <w:rPr>
                <w:rFonts w:hAnsi="宋体" w:cs="宋体"/>
              </w:rPr>
              <w:t>.2</w:t>
            </w:r>
            <w:r>
              <w:rPr>
                <w:rFonts w:hint="eastAsia" w:hAnsi="宋体" w:cs="宋体"/>
              </w:rPr>
              <w:t>、须提供内容涵盖基础医学、临床医学、预防医学、中国医学、</w:t>
            </w:r>
            <w:r>
              <w:rPr>
                <w:rFonts w:hAnsi="宋体" w:cs="宋体"/>
              </w:rPr>
              <w:t xml:space="preserve"> </w:t>
            </w:r>
            <w:r>
              <w:rPr>
                <w:rFonts w:hint="eastAsia" w:hAnsi="宋体" w:cs="宋体"/>
              </w:rPr>
              <w:t>药学、特种医学、生物科学等医药相关期刊不少于</w:t>
            </w:r>
            <w:r>
              <w:rPr>
                <w:rFonts w:hAnsi="宋体" w:cs="宋体"/>
              </w:rPr>
              <w:t>1</w:t>
            </w:r>
            <w:r>
              <w:rPr>
                <w:rFonts w:hint="eastAsia" w:hAnsi="宋体" w:cs="宋体"/>
              </w:rPr>
              <w:t>4</w:t>
            </w:r>
            <w:r>
              <w:rPr>
                <w:rFonts w:hAnsi="宋体" w:cs="宋体"/>
              </w:rPr>
              <w:t>00</w:t>
            </w:r>
            <w:r>
              <w:rPr>
                <w:rFonts w:hint="eastAsia" w:hAnsi="宋体" w:cs="宋体"/>
              </w:rPr>
              <w:t>余种。</w:t>
            </w:r>
          </w:p>
          <w:p>
            <w:pPr>
              <w:rPr>
                <w:rFonts w:hAnsi="宋体" w:cs="宋体"/>
              </w:rPr>
            </w:pPr>
            <w:r>
              <w:rPr>
                <w:rFonts w:hint="eastAsia" w:hAnsi="宋体" w:cs="宋体"/>
              </w:rPr>
              <w:t>1</w:t>
            </w:r>
            <w:r>
              <w:rPr>
                <w:rFonts w:hAnsi="宋体" w:cs="宋体"/>
              </w:rPr>
              <w:t>.3</w:t>
            </w:r>
            <w:r>
              <w:rPr>
                <w:rFonts w:hint="eastAsia" w:hAnsi="宋体" w:cs="宋体"/>
              </w:rPr>
              <w:t>、医药期刊应包含15</w:t>
            </w:r>
            <w:r>
              <w:rPr>
                <w:rFonts w:hAnsi="宋体" w:cs="宋体"/>
              </w:rPr>
              <w:t>0</w:t>
            </w:r>
            <w:r>
              <w:rPr>
                <w:rFonts w:hint="eastAsia" w:hAnsi="宋体" w:cs="宋体"/>
              </w:rPr>
              <w:t>种中华医学会系列期刊，必须合法获得授权并提供证明文件</w:t>
            </w:r>
            <w:r>
              <w:rPr>
                <w:rFonts w:hint="eastAsia" w:cs="Calibri"/>
                <w:color w:val="FF0000"/>
                <w:szCs w:val="21"/>
              </w:rPr>
              <w:t>加盖参询人公章</w:t>
            </w:r>
            <w:r>
              <w:rPr>
                <w:rFonts w:hint="eastAsia" w:hAnsi="宋体" w:cs="宋体"/>
              </w:rPr>
              <w:t>。</w:t>
            </w:r>
          </w:p>
          <w:p>
            <w:r>
              <w:rPr>
                <w:rFonts w:hAnsi="宋体" w:cs="宋体"/>
              </w:rPr>
              <w:t>1.3</w:t>
            </w:r>
            <w:r>
              <w:rPr>
                <w:rFonts w:hint="eastAsia" w:hAnsi="宋体" w:cs="宋体"/>
              </w:rPr>
              <w:t>、</w:t>
            </w:r>
            <w:r>
              <w:rPr>
                <w:rFonts w:hint="eastAsia" w:ascii="宋体" w:hAnsi="宋体" w:cs="Arial"/>
              </w:rPr>
              <w:t>医药</w:t>
            </w:r>
            <w:r>
              <w:rPr>
                <w:rFonts w:hint="eastAsia" w:hAnsi="宋体" w:cs="宋体"/>
              </w:rPr>
              <w:t>期刊知识内容按照临床要求分为评论、论著、简报、病理报告、综述讲座、会议纪要和消息动态</w:t>
            </w:r>
            <w:r>
              <w:rPr>
                <w:rFonts w:hint="eastAsia" w:hAnsi="宋体" w:cs="宋体"/>
                <w:lang w:eastAsia="zh-CN"/>
              </w:rPr>
              <w:t>。</w:t>
            </w:r>
            <w:r>
              <w:rPr>
                <w:rFonts w:hint="eastAsia"/>
                <w:color w:val="FF0000"/>
                <w:szCs w:val="21"/>
              </w:rPr>
              <w:t>(</w:t>
            </w:r>
            <w:r>
              <w:rPr>
                <w:rFonts w:hint="eastAsia" w:cs="Calibri"/>
                <w:color w:val="FF0000"/>
                <w:szCs w:val="21"/>
              </w:rPr>
              <w:t>提供此功能软件界面截图并加盖参询人公章)</w:t>
            </w:r>
          </w:p>
          <w:p>
            <w:pPr>
              <w:pStyle w:val="5"/>
            </w:pPr>
            <w:r>
              <w:t>1.</w:t>
            </w:r>
            <w:r>
              <w:rPr>
                <w:rFonts w:hint="eastAsia"/>
              </w:rPr>
              <w:t>4、</w:t>
            </w:r>
            <w:r>
              <w:rPr>
                <w:rFonts w:hint="eastAsia" w:ascii="仿宋" w:hAnsi="仿宋" w:eastAsia="仿宋" w:cs="仿宋"/>
                <w:sz w:val="24"/>
                <w:szCs w:val="24"/>
              </w:rPr>
              <w:t>★</w:t>
            </w:r>
            <w:r>
              <w:rPr>
                <w:rFonts w:hint="eastAsia" w:cs="宋体"/>
              </w:rPr>
              <w:t>具有</w:t>
            </w:r>
            <w:r>
              <w:rPr>
                <w:rFonts w:hint="eastAsia"/>
              </w:rPr>
              <w:t>二维码等多种知识分享功能和微信移动端服务，</w:t>
            </w:r>
            <w:r>
              <w:t>PC</w:t>
            </w:r>
            <w:r>
              <w:rPr>
                <w:rFonts w:hint="eastAsia"/>
              </w:rPr>
              <w:t>端</w:t>
            </w:r>
            <w:r>
              <w:t>+</w:t>
            </w:r>
            <w:r>
              <w:rPr>
                <w:rFonts w:hint="eastAsia"/>
              </w:rPr>
              <w:t>移动端通过扫码可实时交互使用。</w:t>
            </w:r>
          </w:p>
          <w:p>
            <w:pPr>
              <w:pStyle w:val="5"/>
            </w:pPr>
            <w:r>
              <w:rPr>
                <w:rFonts w:hint="eastAsia"/>
              </w:rPr>
              <w:t>1.5、提供网络微及信端服务,</w:t>
            </w:r>
            <w:r>
              <w:rPr>
                <w:rFonts w:hint="eastAsia" w:cs="宋体"/>
                <w:kern w:val="2"/>
              </w:rPr>
              <w:t>具有在线阅读、下载、打印等功能</w:t>
            </w:r>
            <w:r>
              <w:rPr>
                <w:rFonts w:hint="eastAsia"/>
              </w:rPr>
              <w:t>。</w:t>
            </w:r>
          </w:p>
          <w:p>
            <w:pPr>
              <w:pStyle w:val="5"/>
            </w:pPr>
            <w:r>
              <w:rPr>
                <w:rFonts w:hint="eastAsia"/>
              </w:rPr>
              <w:t>1.6、检索结果可在同一界面实现刊名、作者、作者单位、收录源分类排序。支持订阅功能，可实现对学科、疾病、检索式的订阅管理，对机构、作者、期刊、文章可收藏，满足医护人员的学术追踪需求。</w:t>
            </w:r>
          </w:p>
          <w:p>
            <w:pPr>
              <w:ind w:firstLine="422" w:firstLineChars="200"/>
              <w:rPr>
                <w:rFonts w:cs="宋体"/>
                <w:b/>
              </w:rPr>
            </w:pPr>
            <w:r>
              <w:rPr>
                <w:rFonts w:hint="eastAsia" w:cs="宋体"/>
                <w:b/>
              </w:rPr>
              <w:t>2</w:t>
            </w:r>
            <w:r>
              <w:rPr>
                <w:rFonts w:cs="宋体"/>
                <w:b/>
              </w:rPr>
              <w:t>.</w:t>
            </w:r>
            <w:r>
              <w:rPr>
                <w:rFonts w:hint="eastAsia" w:cs="宋体"/>
                <w:b/>
              </w:rPr>
              <w:t>学位论文</w:t>
            </w:r>
          </w:p>
          <w:p>
            <w:r>
              <w:rPr>
                <w:rFonts w:hint="eastAsia"/>
              </w:rPr>
              <w:t>2</w:t>
            </w:r>
            <w:r>
              <w:t>.1</w:t>
            </w:r>
            <w:r>
              <w:rPr>
                <w:rFonts w:hint="eastAsia"/>
              </w:rPr>
              <w:t>、以国家法定的学位论文收藏单位“中国国家科技信息研究所”为依托,收录来源985、211高校和中科院、医院等单位，收录我国95%以上学位授予单位的学位论文；涵盖各个学科领域。</w:t>
            </w:r>
          </w:p>
          <w:p>
            <w:r>
              <w:t>2.2</w:t>
            </w:r>
            <w:r>
              <w:rPr>
                <w:rFonts w:hint="eastAsia"/>
              </w:rPr>
              <w:t>、医药学位论文数据库必须包含博硕士论文不少于</w:t>
            </w:r>
            <w:r>
              <w:t>75</w:t>
            </w:r>
            <w:r>
              <w:rPr>
                <w:rFonts w:hint="eastAsia"/>
              </w:rPr>
              <w:t>万篇，博士及博士后不少于16万篇；涵盖药学、中药学、基础医学、公共卫生与预防医学等学科。</w:t>
            </w:r>
          </w:p>
          <w:p>
            <w:r>
              <w:rPr>
                <w:rFonts w:hint="eastAsia"/>
              </w:rPr>
              <w:t>2</w:t>
            </w:r>
            <w:r>
              <w:t>.3</w:t>
            </w:r>
            <w:r>
              <w:rPr>
                <w:rFonts w:hint="eastAsia"/>
              </w:rPr>
              <w:t>、必须收录全国排名前十的医科大学博硕士学位论文。</w:t>
            </w:r>
          </w:p>
          <w:p>
            <w:r>
              <w:rPr>
                <w:rFonts w:hint="eastAsia"/>
              </w:rPr>
              <w:t>2</w:t>
            </w:r>
            <w:r>
              <w:t>.4</w:t>
            </w:r>
            <w:r>
              <w:rPr>
                <w:rFonts w:hint="eastAsia"/>
              </w:rPr>
              <w:t>、</w:t>
            </w:r>
            <w:r>
              <w:rPr>
                <w:rFonts w:hint="eastAsia" w:cs="宋体"/>
              </w:rPr>
              <w:t>具有</w:t>
            </w:r>
            <w:r>
              <w:rPr>
                <w:rFonts w:hint="eastAsia"/>
              </w:rPr>
              <w:t>二维码等多种知识分享功能和微信移动端服务，</w:t>
            </w:r>
            <w:r>
              <w:t>PC</w:t>
            </w:r>
            <w:r>
              <w:rPr>
                <w:rFonts w:hint="eastAsia"/>
              </w:rPr>
              <w:t>端</w:t>
            </w:r>
            <w:r>
              <w:t>+</w:t>
            </w:r>
            <w:r>
              <w:rPr>
                <w:rFonts w:hint="eastAsia"/>
              </w:rPr>
              <w:t>移动端通过扫码可实时交互使用。</w:t>
            </w:r>
          </w:p>
          <w:p>
            <w:pPr>
              <w:pStyle w:val="5"/>
            </w:pPr>
            <w:r>
              <w:t>2.5</w:t>
            </w:r>
            <w:r>
              <w:rPr>
                <w:rFonts w:hint="eastAsia"/>
              </w:rPr>
              <w:t>、提供网络微及信端服务，</w:t>
            </w:r>
            <w:r>
              <w:rPr>
                <w:rFonts w:hint="eastAsia" w:cs="宋体"/>
                <w:kern w:val="2"/>
              </w:rPr>
              <w:t>具有在线阅读、下载、打印等功能</w:t>
            </w:r>
            <w:r>
              <w:rPr>
                <w:rFonts w:hint="eastAsia"/>
              </w:rPr>
              <w:t>。</w:t>
            </w:r>
          </w:p>
          <w:p>
            <w:pPr>
              <w:ind w:firstLine="422" w:firstLineChars="200"/>
              <w:rPr>
                <w:rFonts w:cs="宋体"/>
                <w:b/>
              </w:rPr>
            </w:pPr>
            <w:r>
              <w:rPr>
                <w:rFonts w:hint="eastAsia" w:cs="宋体"/>
                <w:b/>
              </w:rPr>
              <w:t>3</w:t>
            </w:r>
            <w:r>
              <w:rPr>
                <w:rFonts w:cs="宋体"/>
                <w:b/>
              </w:rPr>
              <w:t>.</w:t>
            </w:r>
            <w:r>
              <w:rPr>
                <w:rFonts w:hint="eastAsia" w:cs="宋体"/>
                <w:b/>
              </w:rPr>
              <w:t>临床指南</w:t>
            </w:r>
          </w:p>
          <w:p>
            <w:pPr>
              <w:spacing w:line="400" w:lineRule="exact"/>
            </w:pPr>
            <w:r>
              <w:t>3.1</w:t>
            </w:r>
            <w:r>
              <w:rPr>
                <w:rFonts w:hint="eastAsia"/>
              </w:rPr>
              <w:t>、按学科分类整理并包含指南、解读、规范和共识四块临床内容，明确标注各项内容的制定者及来源，便于临床医生临床实践，提升医生诊疗水平</w:t>
            </w:r>
            <w:r>
              <w:rPr>
                <w:rFonts w:hint="eastAsia" w:ascii="宋体" w:hAnsi="宋体" w:cs="新宋体"/>
                <w:bCs/>
              </w:rPr>
              <w:t>，降低风险</w:t>
            </w:r>
            <w:r>
              <w:rPr>
                <w:rFonts w:hint="eastAsia" w:ascii="宋体" w:hAnsi="宋体" w:cs="新宋体"/>
                <w:bCs/>
                <w:sz w:val="28"/>
                <w:szCs w:val="28"/>
              </w:rPr>
              <w:t>；</w:t>
            </w:r>
            <w:r>
              <w:rPr>
                <w:rFonts w:hint="eastAsia"/>
              </w:rPr>
              <w:t>为临床医生提供实时决策内容。</w:t>
            </w:r>
          </w:p>
          <w:p>
            <w:r>
              <w:t>3</w:t>
            </w:r>
            <w:r>
              <w:rPr>
                <w:rFonts w:hint="eastAsia"/>
              </w:rPr>
              <w:t>.</w:t>
            </w:r>
            <w:r>
              <w:t>2</w:t>
            </w:r>
            <w:r>
              <w:rPr>
                <w:rFonts w:hint="eastAsia"/>
              </w:rPr>
              <w:t>、</w:t>
            </w:r>
            <w:r>
              <w:rPr>
                <w:rFonts w:hint="eastAsia" w:cs="宋体"/>
              </w:rPr>
              <w:t>具有</w:t>
            </w:r>
            <w:r>
              <w:rPr>
                <w:rFonts w:hint="eastAsia"/>
              </w:rPr>
              <w:t>二维码等多种知识分享功能和微信移动端服务，</w:t>
            </w:r>
            <w:r>
              <w:t>PC</w:t>
            </w:r>
            <w:r>
              <w:rPr>
                <w:rFonts w:hint="eastAsia"/>
              </w:rPr>
              <w:t>端</w:t>
            </w:r>
            <w:r>
              <w:t>+</w:t>
            </w:r>
            <w:r>
              <w:rPr>
                <w:rFonts w:hint="eastAsia"/>
              </w:rPr>
              <w:t>移动端通过扫码可实时交互使用。</w:t>
            </w:r>
          </w:p>
          <w:p>
            <w:pPr>
              <w:pStyle w:val="5"/>
            </w:pPr>
            <w:r>
              <w:t>3.3</w:t>
            </w:r>
            <w:r>
              <w:rPr>
                <w:rFonts w:hint="eastAsia"/>
              </w:rPr>
              <w:t>、提供网络及微信端服务。</w:t>
            </w:r>
          </w:p>
          <w:p>
            <w:pPr>
              <w:pStyle w:val="5"/>
              <w:ind w:firstLine="422" w:firstLineChars="200"/>
              <w:rPr>
                <w:rFonts w:cs="宋体"/>
                <w:b/>
                <w:bCs/>
              </w:rPr>
            </w:pPr>
            <w:r>
              <w:rPr>
                <w:rFonts w:hint="eastAsia" w:cs="宋体"/>
                <w:b/>
                <w:bCs/>
              </w:rPr>
              <w:t>4.会议论文</w:t>
            </w:r>
          </w:p>
          <w:p>
            <w:pPr>
              <w:pStyle w:val="5"/>
              <w:rPr>
                <w:rFonts w:cs="宋体"/>
              </w:rPr>
            </w:pPr>
            <w:r>
              <w:rPr>
                <w:rFonts w:hint="eastAsia" w:cs="宋体"/>
              </w:rPr>
              <w:t>4.1、以全国性医学会学术会议为主，收录1994年以来的国家级学会、协会、研究会组织召开的全国性学术会议论文及在中国境内召开的国家性会议论文数据。</w:t>
            </w:r>
          </w:p>
          <w:p>
            <w:pPr>
              <w:pStyle w:val="5"/>
              <w:rPr>
                <w:rFonts w:cs="宋体"/>
                <w:bCs/>
                <w:color w:val="000000"/>
              </w:rPr>
            </w:pPr>
            <w:r>
              <w:rPr>
                <w:rFonts w:hint="eastAsia" w:cs="宋体"/>
                <w:bCs/>
                <w:color w:val="000000"/>
              </w:rPr>
              <w:t>4.2、医学会议论文数据库必须包含会议论文不少于50万篇，年增5万篇以上，每月更新。收录了国内各学会、协会、高校及科研院所召开的学术会议论文。</w:t>
            </w:r>
          </w:p>
          <w:p>
            <w:pPr>
              <w:pStyle w:val="5"/>
              <w:rPr>
                <w:rFonts w:cs="宋体"/>
              </w:rPr>
            </w:pPr>
            <w:r>
              <w:rPr>
                <w:rFonts w:hint="eastAsia" w:cs="宋体"/>
                <w:bCs/>
                <w:color w:val="000000"/>
              </w:rPr>
              <w:t>4.3、</w:t>
            </w:r>
            <w:r>
              <w:rPr>
                <w:rFonts w:hint="eastAsia" w:cs="宋体"/>
              </w:rPr>
              <w:t>具有二维码等多种知识分享功能和微信移动端服务，PC端+微信端通过扫码可实时交互使用。</w:t>
            </w:r>
          </w:p>
          <w:p>
            <w:pPr>
              <w:pStyle w:val="5"/>
              <w:rPr>
                <w:rFonts w:cs="宋体"/>
              </w:rPr>
            </w:pPr>
            <w:r>
              <w:rPr>
                <w:rFonts w:hint="eastAsia" w:cs="宋体"/>
              </w:rPr>
              <w:t>4.4</w:t>
            </w:r>
            <w:r>
              <w:rPr>
                <w:rFonts w:hint="eastAsia" w:cs="宋体"/>
                <w:lang w:eastAsia="zh-CN"/>
              </w:rPr>
              <w:t>、</w:t>
            </w:r>
            <w:r>
              <w:rPr>
                <w:rFonts w:hint="eastAsia" w:cs="宋体"/>
              </w:rPr>
              <w:t>提供网络及微信端服务，</w:t>
            </w:r>
            <w:r>
              <w:rPr>
                <w:rFonts w:hint="eastAsia" w:cs="宋体"/>
                <w:kern w:val="2"/>
              </w:rPr>
              <w:t>具有在线阅读、下载、打印等功能</w:t>
            </w:r>
            <w:r>
              <w:rPr>
                <w:rFonts w:hint="eastAsia" w:cs="宋体"/>
              </w:rPr>
              <w:t>。</w:t>
            </w:r>
          </w:p>
          <w:p>
            <w:pPr>
              <w:pStyle w:val="5"/>
              <w:ind w:firstLine="420"/>
              <w:rPr>
                <w:rFonts w:cs="宋体"/>
                <w:b/>
                <w:bCs/>
              </w:rPr>
            </w:pPr>
            <w:r>
              <w:rPr>
                <w:rFonts w:hint="eastAsia" w:cs="宋体"/>
                <w:b/>
                <w:bCs/>
              </w:rPr>
              <w:t>5.医学视频</w:t>
            </w:r>
          </w:p>
          <w:p>
            <w:pPr>
              <w:pStyle w:val="5"/>
              <w:rPr>
                <w:rFonts w:cs="宋体"/>
              </w:rPr>
            </w:pPr>
            <w:r>
              <w:rPr>
                <w:rFonts w:hint="eastAsia" w:cs="宋体"/>
              </w:rPr>
              <w:t>5.1、以医学视频为主要内容的知识服务系统。与多家权威机构合作，提供专业的医学视频服务。医学视频库包含三大类视频，包括中医、西医和大众科普。每个类别下面又以学科为别划分为数个子类，方便用户分类浏览。</w:t>
            </w:r>
          </w:p>
          <w:p>
            <w:pPr>
              <w:pStyle w:val="5"/>
              <w:rPr>
                <w:rFonts w:cs="宋体"/>
              </w:rPr>
            </w:pPr>
            <w:r>
              <w:rPr>
                <w:rFonts w:hint="eastAsia" w:cs="宋体"/>
              </w:rPr>
              <w:t>5.2、医学视频库数量1000部以上。</w:t>
            </w:r>
          </w:p>
          <w:p>
            <w:pPr>
              <w:pStyle w:val="5"/>
              <w:rPr>
                <w:rFonts w:cs="宋体"/>
              </w:rPr>
            </w:pPr>
            <w:r>
              <w:rPr>
                <w:rFonts w:hint="eastAsia" w:cs="宋体"/>
              </w:rPr>
              <w:t>5.3、具有二维码等多种知识分享功能和微信移动端服务，PC端+移动端通过扫码可实时交互使用。</w:t>
            </w:r>
          </w:p>
          <w:p>
            <w:pPr>
              <w:pStyle w:val="5"/>
              <w:rPr>
                <w:rFonts w:cs="宋体"/>
              </w:rPr>
            </w:pPr>
            <w:r>
              <w:rPr>
                <w:rFonts w:hint="eastAsia" w:cs="宋体"/>
              </w:rPr>
              <w:t>5.4、提供网络及微信端服务。</w:t>
            </w:r>
          </w:p>
          <w:p>
            <w:pPr>
              <w:pStyle w:val="5"/>
              <w:rPr>
                <w:rFonts w:cs="宋体"/>
              </w:rPr>
            </w:pPr>
            <w:r>
              <w:rPr>
                <w:rFonts w:hint="eastAsia" w:cs="宋体"/>
              </w:rPr>
              <w:t xml:space="preserve"> </w:t>
            </w:r>
            <w:r>
              <w:rPr>
                <w:rFonts w:hint="eastAsia" w:cs="宋体"/>
                <w:b/>
                <w:bCs/>
              </w:rPr>
              <w:t xml:space="preserve">   6.外文医学期刊</w:t>
            </w:r>
          </w:p>
          <w:p>
            <w:pPr>
              <w:pStyle w:val="5"/>
              <w:rPr>
                <w:rFonts w:cs="宋体"/>
              </w:rPr>
            </w:pPr>
            <w:r>
              <w:rPr>
                <w:rFonts w:hint="eastAsia" w:cs="宋体"/>
              </w:rPr>
              <w:t>6.1、收录至今的20000种以上外文学术期刊，涉及生物和医药等前沿医学领域，总文献量</w:t>
            </w:r>
            <w:r>
              <w:rPr>
                <w:rFonts w:hint="eastAsia" w:ascii="Arial" w:hAnsi="Arial" w:cs="Arial"/>
              </w:rPr>
              <w:t>3000万</w:t>
            </w:r>
            <w:r>
              <w:rPr>
                <w:rFonts w:ascii="Arial" w:hAnsi="Arial" w:cs="Arial"/>
              </w:rPr>
              <w:t>条</w:t>
            </w:r>
            <w:r>
              <w:rPr>
                <w:rFonts w:hint="eastAsia" w:ascii="Arial" w:hAnsi="Arial" w:cs="Arial"/>
              </w:rPr>
              <w:t>以上，年增100万篇以上</w:t>
            </w:r>
            <w:r>
              <w:rPr>
                <w:rFonts w:hint="eastAsia" w:cs="宋体"/>
              </w:rPr>
              <w:t>。</w:t>
            </w:r>
          </w:p>
          <w:p>
            <w:pPr>
              <w:pStyle w:val="5"/>
              <w:rPr>
                <w:rFonts w:cs="宋体"/>
              </w:rPr>
            </w:pPr>
            <w:r>
              <w:rPr>
                <w:rFonts w:hint="eastAsia" w:cs="宋体"/>
              </w:rPr>
              <w:t>6.2、具有二维码等多种知识分享功能和微信移动端服务，PC端+移动端通过扫码可实时交互使用</w:t>
            </w:r>
          </w:p>
          <w:p>
            <w:pPr>
              <w:pStyle w:val="5"/>
              <w:rPr>
                <w:rFonts w:cs="宋体"/>
              </w:rPr>
            </w:pPr>
            <w:r>
              <w:rPr>
                <w:rFonts w:hint="eastAsia" w:cs="宋体"/>
              </w:rPr>
              <w:t>6.3、提供网络及微信端服务，</w:t>
            </w:r>
            <w:r>
              <w:rPr>
                <w:rFonts w:hint="eastAsia" w:cs="宋体"/>
                <w:kern w:val="2"/>
              </w:rPr>
              <w:t>具有在线阅读、下载、打印等功能</w:t>
            </w:r>
            <w:r>
              <w:rPr>
                <w:rFonts w:hint="eastAsia" w:cs="宋体"/>
              </w:rPr>
              <w:t>。</w:t>
            </w:r>
          </w:p>
          <w:p>
            <w:pPr>
              <w:pStyle w:val="5"/>
              <w:ind w:firstLine="420"/>
              <w:rPr>
                <w:rFonts w:cs="宋体"/>
                <w:b/>
                <w:bCs/>
              </w:rPr>
            </w:pPr>
            <w:r>
              <w:rPr>
                <w:rFonts w:hint="eastAsia" w:cs="宋体"/>
                <w:b/>
                <w:bCs/>
              </w:rPr>
              <w:t>7.电子图书</w:t>
            </w:r>
          </w:p>
          <w:p>
            <w:pPr>
              <w:pStyle w:val="5"/>
              <w:rPr>
                <w:rFonts w:cs="宋体"/>
                <w:kern w:val="2"/>
              </w:rPr>
            </w:pPr>
            <w:r>
              <w:rPr>
                <w:rFonts w:hint="eastAsia" w:ascii="仿宋" w:hAnsi="仿宋" w:eastAsia="仿宋" w:cs="仿宋"/>
                <w:sz w:val="24"/>
                <w:szCs w:val="24"/>
              </w:rPr>
              <w:t>★</w:t>
            </w:r>
            <w:r>
              <w:rPr>
                <w:rFonts w:hint="eastAsia" w:ascii="微软雅黑" w:hAnsi="微软雅黑" w:eastAsia="微软雅黑" w:cs="微软雅黑"/>
                <w:sz w:val="24"/>
                <w:szCs w:val="24"/>
              </w:rPr>
              <w:t>▲</w:t>
            </w:r>
            <w:r>
              <w:rPr>
                <w:rFonts w:hint="eastAsia" w:cs="宋体"/>
              </w:rPr>
              <w:t>7.1</w:t>
            </w:r>
            <w:r>
              <w:rPr>
                <w:rFonts w:hint="eastAsia" w:cs="宋体"/>
                <w:lang w:val="en-US" w:eastAsia="zh-CN"/>
              </w:rPr>
              <w:t>、</w:t>
            </w:r>
            <w:r>
              <w:rPr>
                <w:rFonts w:hint="eastAsia" w:cs="宋体"/>
                <w:kern w:val="2"/>
              </w:rPr>
              <w:t>电子图书全文至少60万册，医学电子图书全文至少3万册，镜像可装3万册以上。可检索到书名，作者，主题，出版社等信息。图书须保持纸质图书原文原貌；提供多种检索方式，如：书名、作者、主题词等，同时实现图书的知识检索；图书须具有在线阅读、下载、打印等功能；图书须提供专用阅读器，便于读者进行个性化阅读。</w:t>
            </w:r>
          </w:p>
          <w:p>
            <w:pPr>
              <w:pStyle w:val="5"/>
              <w:spacing w:line="400" w:lineRule="exact"/>
              <w:rPr>
                <w:rFonts w:cs="宋体"/>
                <w:kern w:val="2"/>
              </w:rPr>
            </w:pPr>
            <w:r>
              <w:rPr>
                <w:rFonts w:hint="eastAsia" w:cs="宋体"/>
                <w:kern w:val="2"/>
              </w:rPr>
              <w:t>7.2平台图书按照中图法进行二级学科分类，系统平台具有图书列表、高级检索、图书推荐、图书搜藏排行榜、访问人次、资源总量等功能。</w:t>
            </w:r>
          </w:p>
          <w:p>
            <w:pPr>
              <w:rPr>
                <w:rFonts w:cs="宋体"/>
                <w:szCs w:val="21"/>
              </w:rPr>
            </w:pPr>
            <w:r>
              <w:rPr>
                <w:rFonts w:hint="eastAsia" w:ascii="宋体" w:hAnsi="宋体" w:cs="宋体"/>
                <w:szCs w:val="21"/>
              </w:rPr>
              <w:t>7.3具有馆际互借功能。</w:t>
            </w:r>
          </w:p>
        </w:tc>
      </w:tr>
    </w:tbl>
    <w:p>
      <w:pPr>
        <w:pStyle w:val="13"/>
        <w:spacing w:line="400" w:lineRule="exact"/>
        <w:ind w:firstLine="0" w:firstLineChars="0"/>
        <w:rPr>
          <w:rFonts w:hint="eastAsia" w:ascii="仿宋" w:hAnsi="仿宋" w:eastAsia="仿宋" w:cs="仿宋"/>
          <w:sz w:val="24"/>
          <w:szCs w:val="24"/>
        </w:rPr>
      </w:pPr>
      <w:r>
        <w:rPr>
          <w:rFonts w:hint="eastAsia" w:ascii="仿宋" w:hAnsi="仿宋" w:eastAsia="仿宋" w:cs="仿宋"/>
          <w:sz w:val="24"/>
          <w:szCs w:val="24"/>
        </w:rPr>
        <w:t>注：★号参数为不允许偏离的实质性要求。</w:t>
      </w:r>
      <w:r>
        <w:rPr>
          <w:rFonts w:hint="eastAsia" w:ascii="微软雅黑" w:hAnsi="微软雅黑" w:eastAsia="微软雅黑" w:cs="微软雅黑"/>
          <w:sz w:val="24"/>
          <w:szCs w:val="24"/>
        </w:rPr>
        <w:t>▲</w:t>
      </w:r>
      <w:r>
        <w:rPr>
          <w:rFonts w:hint="eastAsia" w:ascii="仿宋" w:hAnsi="仿宋" w:eastAsia="仿宋" w:cs="仿宋"/>
          <w:sz w:val="24"/>
          <w:szCs w:val="24"/>
        </w:rPr>
        <w:t>号参数为现场功能演示要求。</w:t>
      </w:r>
    </w:p>
    <w:p>
      <w:pPr>
        <w:pStyle w:val="13"/>
        <w:spacing w:line="400" w:lineRule="exact"/>
        <w:ind w:firstLine="0" w:firstLineChars="0"/>
        <w:rPr>
          <w:rFonts w:hint="eastAsia" w:ascii="仿宋" w:hAnsi="仿宋" w:eastAsia="仿宋" w:cs="仿宋"/>
          <w:sz w:val="24"/>
          <w:szCs w:val="24"/>
        </w:rPr>
      </w:pPr>
    </w:p>
    <w:tbl>
      <w:tblPr>
        <w:tblStyle w:val="9"/>
        <w:tblW w:w="9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8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973" w:type="dxa"/>
            <w:gridSpan w:val="2"/>
            <w:vAlign w:val="center"/>
          </w:tcPr>
          <w:p>
            <w:pPr>
              <w:rPr>
                <w:rFonts w:ascii="新宋体" w:eastAsia="新宋体"/>
                <w:szCs w:val="21"/>
              </w:rPr>
            </w:pPr>
            <w:r>
              <w:rPr>
                <w:rFonts w:hint="eastAsia" w:ascii="仿宋" w:hAnsi="仿宋" w:eastAsia="仿宋" w:cs="仿宋"/>
                <w:b/>
                <w:sz w:val="24"/>
              </w:rPr>
              <w:t>商务条款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规范标准</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采购标的需执行的国家标准、行业标准、地方标准或者其他标准、规范。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报价要求</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本项目预算控制价为</w:t>
            </w:r>
            <w:r>
              <w:rPr>
                <w:rFonts w:ascii="仿宋" w:hAnsi="仿宋" w:eastAsia="仿宋" w:cs="仿宋"/>
                <w:sz w:val="24"/>
              </w:rPr>
              <w:t>8</w:t>
            </w:r>
            <w:r>
              <w:rPr>
                <w:rFonts w:hint="eastAsia" w:ascii="仿宋" w:hAnsi="仿宋" w:eastAsia="仿宋" w:cs="仿宋"/>
                <w:sz w:val="24"/>
              </w:rPr>
              <w:t>9000元，软件验收合格后厂家提供一年免费运维，免费运维期过后，每年续费不高于3万元。报价必须包含满足本次全部采购需求所应提供的服务，以及伴随的货物和工程（如有）的价格；包含：产品价格、运输费（含装卸费）、保险费、安装调试费、税费、培训费、产品检测费、产品质保期内维护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合同签订日期</w:t>
            </w:r>
          </w:p>
        </w:tc>
        <w:tc>
          <w:tcPr>
            <w:tcW w:w="8031" w:type="dxa"/>
          </w:tcPr>
          <w:p>
            <w:pPr>
              <w:spacing w:line="360" w:lineRule="exact"/>
              <w:jc w:val="left"/>
              <w:rPr>
                <w:rFonts w:ascii="仿宋" w:hAnsi="仿宋" w:eastAsia="仿宋" w:cs="仿宋"/>
                <w:sz w:val="24"/>
              </w:rPr>
            </w:pPr>
            <w:r>
              <w:rPr>
                <w:rFonts w:ascii="仿宋" w:hAnsi="仿宋" w:eastAsia="仿宋" w:cs="仿宋"/>
                <w:sz w:val="24"/>
              </w:rPr>
              <w:t>成交通知书发出后15日内。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付款方式</w:t>
            </w:r>
          </w:p>
        </w:tc>
        <w:tc>
          <w:tcPr>
            <w:tcW w:w="8031" w:type="dxa"/>
          </w:tcPr>
          <w:p>
            <w:pPr>
              <w:spacing w:line="360" w:lineRule="exact"/>
              <w:jc w:val="left"/>
              <w:rPr>
                <w:rFonts w:hint="eastAsia" w:ascii="仿宋" w:hAnsi="仿宋" w:eastAsia="仿宋" w:cs="仿宋"/>
                <w:color w:val="FF0000"/>
                <w:sz w:val="24"/>
                <w:highlight w:val="yellow"/>
              </w:rPr>
            </w:pPr>
            <w:r>
              <w:rPr>
                <w:rFonts w:hint="eastAsia" w:ascii="仿宋" w:hAnsi="仿宋" w:eastAsia="仿宋" w:cs="仿宋"/>
                <w:sz w:val="24"/>
                <w:highlight w:val="yellow"/>
              </w:rPr>
              <w:t>合同签订后，项目实施完毕验收合格半年后</w:t>
            </w:r>
            <w:r>
              <w:rPr>
                <w:rFonts w:hint="eastAsia" w:ascii="仿宋" w:hAnsi="仿宋" w:eastAsia="仿宋" w:cs="仿宋"/>
                <w:color w:val="FF0000"/>
                <w:sz w:val="24"/>
                <w:highlight w:val="yellow"/>
              </w:rPr>
              <w:t>（以双方签订验收单的日期为计算基准）</w:t>
            </w:r>
            <w:r>
              <w:rPr>
                <w:rFonts w:hint="eastAsia" w:ascii="仿宋" w:hAnsi="仿宋" w:eastAsia="仿宋" w:cs="仿宋"/>
                <w:sz w:val="24"/>
                <w:highlight w:val="yellow"/>
              </w:rPr>
              <w:t>支付合同金额5</w:t>
            </w:r>
            <w:r>
              <w:rPr>
                <w:rFonts w:ascii="仿宋" w:hAnsi="仿宋" w:eastAsia="仿宋" w:cs="仿宋"/>
                <w:sz w:val="24"/>
                <w:highlight w:val="yellow"/>
              </w:rPr>
              <w:t>0%</w:t>
            </w:r>
            <w:r>
              <w:rPr>
                <w:rFonts w:hint="eastAsia" w:ascii="仿宋" w:hAnsi="仿宋" w:eastAsia="仿宋" w:cs="仿宋"/>
                <w:sz w:val="24"/>
                <w:highlight w:val="yellow"/>
              </w:rPr>
              <w:t>，余下5</w:t>
            </w:r>
            <w:r>
              <w:rPr>
                <w:rFonts w:ascii="仿宋" w:hAnsi="仿宋" w:eastAsia="仿宋" w:cs="仿宋"/>
                <w:sz w:val="24"/>
                <w:highlight w:val="yellow"/>
              </w:rPr>
              <w:t>0%</w:t>
            </w:r>
            <w:r>
              <w:rPr>
                <w:rFonts w:hint="eastAsia" w:ascii="仿宋" w:hAnsi="仿宋" w:eastAsia="仿宋" w:cs="仿宋"/>
                <w:sz w:val="24"/>
                <w:highlight w:val="yellow"/>
              </w:rPr>
              <w:t>于验收一年后支付。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交付使用期</w:t>
            </w:r>
          </w:p>
        </w:tc>
        <w:tc>
          <w:tcPr>
            <w:tcW w:w="8031" w:type="dxa"/>
          </w:tcPr>
          <w:p>
            <w:pPr>
              <w:spacing w:line="360" w:lineRule="exact"/>
              <w:jc w:val="left"/>
              <w:rPr>
                <w:rFonts w:ascii="仿宋" w:hAnsi="仿宋" w:eastAsia="仿宋" w:cs="仿宋"/>
                <w:sz w:val="24"/>
                <w:highlight w:val="yellow"/>
              </w:rPr>
            </w:pPr>
            <w:r>
              <w:rPr>
                <w:rFonts w:hint="eastAsia" w:ascii="仿宋" w:hAnsi="仿宋" w:eastAsia="仿宋" w:cs="仿宋"/>
                <w:sz w:val="24"/>
                <w:highlight w:val="yellow"/>
              </w:rPr>
              <w:t>合同签订生效后，</w:t>
            </w:r>
            <w:r>
              <w:rPr>
                <w:rFonts w:ascii="仿宋" w:hAnsi="仿宋" w:eastAsia="仿宋" w:cs="仿宋"/>
                <w:sz w:val="24"/>
                <w:highlight w:val="yellow"/>
              </w:rPr>
              <w:t>10</w:t>
            </w:r>
            <w:r>
              <w:rPr>
                <w:rFonts w:hint="eastAsia" w:ascii="仿宋" w:hAnsi="仿宋" w:eastAsia="仿宋" w:cs="仿宋"/>
                <w:sz w:val="24"/>
                <w:highlight w:val="yellow"/>
              </w:rPr>
              <w:t>个工作日内入场，</w:t>
            </w:r>
            <w:r>
              <w:rPr>
                <w:rFonts w:ascii="仿宋" w:hAnsi="仿宋" w:eastAsia="仿宋" w:cs="仿宋"/>
                <w:sz w:val="24"/>
                <w:highlight w:val="yellow"/>
              </w:rPr>
              <w:t>30</w:t>
            </w:r>
            <w:r>
              <w:rPr>
                <w:rFonts w:hint="eastAsia" w:ascii="仿宋" w:hAnsi="仿宋" w:eastAsia="仿宋" w:cs="仿宋"/>
                <w:sz w:val="24"/>
                <w:highlight w:val="yellow"/>
              </w:rPr>
              <w:t>天内系统正常上线，以试运行验收合格日期为合同履行日期。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交付地点</w:t>
            </w:r>
          </w:p>
        </w:tc>
        <w:tc>
          <w:tcPr>
            <w:tcW w:w="8031" w:type="dxa"/>
          </w:tcPr>
          <w:p>
            <w:pPr>
              <w:spacing w:line="360" w:lineRule="exact"/>
              <w:jc w:val="left"/>
              <w:rPr>
                <w:rFonts w:ascii="仿宋" w:hAnsi="仿宋" w:eastAsia="仿宋" w:cs="仿宋"/>
                <w:sz w:val="24"/>
              </w:rPr>
            </w:pPr>
            <w:r>
              <w:rPr>
                <w:rFonts w:ascii="仿宋" w:hAnsi="仿宋" w:eastAsia="仿宋" w:cs="仿宋"/>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验收标准</w:t>
            </w:r>
          </w:p>
        </w:tc>
        <w:tc>
          <w:tcPr>
            <w:tcW w:w="8031" w:type="dxa"/>
          </w:tcPr>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1.验收过程中所产生的一切费用均由中选人承担。报价时应考虑相关费用。</w:t>
            </w:r>
          </w:p>
          <w:p>
            <w:pPr>
              <w:spacing w:line="360" w:lineRule="exact"/>
              <w:jc w:val="left"/>
              <w:rPr>
                <w:rFonts w:ascii="仿宋" w:hAnsi="仿宋" w:eastAsia="仿宋" w:cs="仿宋"/>
                <w:color w:val="FF0000"/>
                <w:sz w:val="24"/>
                <w:lang w:val="zh-TW" w:eastAsia="zh-TW"/>
              </w:rPr>
            </w:pPr>
            <w:r>
              <w:rPr>
                <w:rFonts w:hint="eastAsia" w:ascii="仿宋" w:hAnsi="仿宋" w:eastAsia="仿宋" w:cs="仿宋"/>
                <w:color w:val="FF0000"/>
                <w:sz w:val="24"/>
                <w:lang w:val="zh-TW" w:eastAsia="zh-TW"/>
              </w:rPr>
              <w:t>2.中选人在货物或服务验收时由采购单位对照询价文件的功能目标及技术指标全面核对检验，对所有要求出具的证明文件的原件进行核查，如不符合询价文件的技术需求及要求以及提供虚假承诺的，按相关规定做退货处理及违约处理，中选人承担所有责任和费用，询价人保留进一步追究责任的权利。</w:t>
            </w:r>
          </w:p>
          <w:p>
            <w:pPr>
              <w:spacing w:line="360" w:lineRule="exact"/>
              <w:jc w:val="left"/>
              <w:rPr>
                <w:rFonts w:ascii="仿宋" w:hAnsi="仿宋" w:eastAsia="仿宋" w:cs="仿宋"/>
                <w:sz w:val="24"/>
              </w:rPr>
            </w:pPr>
            <w:r>
              <w:rPr>
                <w:rFonts w:hint="eastAsia" w:ascii="仿宋" w:hAnsi="仿宋" w:eastAsia="仿宋" w:cs="仿宋"/>
                <w:color w:val="FF0000"/>
                <w:sz w:val="24"/>
                <w:lang w:val="zh-TW" w:eastAsia="zh-TW"/>
              </w:rPr>
              <w:t>3.成交供应商在交货验收时必须按相关单位及相关标准提供验收资料。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质保期</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highlight w:val="yellow"/>
              </w:rPr>
              <w:t>自验收合格之日起计算不少于一年。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服务标准、期限、效率</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w:t>
            </w:r>
            <w:r>
              <w:rPr>
                <w:rFonts w:hint="eastAsia" w:ascii="仿宋" w:hAnsi="仿宋" w:eastAsia="仿宋" w:cs="仿宋"/>
                <w:sz w:val="24"/>
              </w:rPr>
              <w:t>中标人能提供售后维护工程师、通过远程、电话等方式为用户提供合同期内完善的售前和售后技术咨询服务；技术服务时间：提供7×8小时技术支持。</w:t>
            </w:r>
          </w:p>
          <w:p>
            <w:pPr>
              <w:spacing w:line="360" w:lineRule="exact"/>
              <w:jc w:val="left"/>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w:t>
            </w:r>
            <w:r>
              <w:rPr>
                <w:rFonts w:hint="eastAsia" w:ascii="仿宋" w:hAnsi="仿宋" w:eastAsia="仿宋" w:cs="仿宋"/>
                <w:sz w:val="24"/>
              </w:rPr>
              <w:t>处理问题响应时间：接到采购人处理问题通知后24小时内到达采购人指定现场，8小时内解决故障并恢复系统运行。</w:t>
            </w:r>
          </w:p>
          <w:p>
            <w:pPr>
              <w:spacing w:line="360" w:lineRule="exact"/>
              <w:jc w:val="left"/>
              <w:rPr>
                <w:rFonts w:hint="eastAsia" w:ascii="仿宋" w:hAnsi="仿宋" w:eastAsia="仿宋" w:cs="仿宋"/>
                <w:sz w:val="24"/>
              </w:rPr>
            </w:pPr>
            <w:r>
              <w:rPr>
                <w:rFonts w:hint="eastAsia" w:ascii="仿宋" w:hAnsi="仿宋" w:eastAsia="仿宋" w:cs="仿宋"/>
                <w:sz w:val="24"/>
              </w:rPr>
              <w:t>3.质保期内定期对系统进行维护和最新版本的软件升级、系统运行维护服务、数据维护服务、在线技术支持、主动式服务、快速响应等服务；质保期内出现故障，需派出技术工程师到达现场处理故障，并承担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1942" w:type="dxa"/>
          </w:tcPr>
          <w:p>
            <w:pPr>
              <w:spacing w:line="360" w:lineRule="exact"/>
              <w:jc w:val="left"/>
              <w:rPr>
                <w:rFonts w:ascii="仿宋" w:hAnsi="仿宋" w:eastAsia="仿宋" w:cs="仿宋"/>
                <w:sz w:val="24"/>
              </w:rPr>
            </w:pPr>
            <w:r>
              <w:rPr>
                <w:rFonts w:hint="eastAsia" w:ascii="仿宋" w:hAnsi="仿宋" w:eastAsia="仿宋" w:cs="仿宋"/>
                <w:sz w:val="24"/>
              </w:rPr>
              <w:t>培训</w:t>
            </w:r>
          </w:p>
        </w:tc>
        <w:tc>
          <w:tcPr>
            <w:tcW w:w="8031" w:type="dxa"/>
          </w:tcPr>
          <w:p>
            <w:pPr>
              <w:spacing w:line="360" w:lineRule="exact"/>
              <w:jc w:val="left"/>
              <w:rPr>
                <w:rFonts w:ascii="仿宋" w:hAnsi="仿宋" w:eastAsia="仿宋" w:cs="仿宋"/>
                <w:sz w:val="24"/>
              </w:rPr>
            </w:pPr>
            <w:r>
              <w:rPr>
                <w:rFonts w:hint="eastAsia" w:ascii="仿宋" w:hAnsi="仿宋" w:eastAsia="仿宋" w:cs="仿宋"/>
                <w:sz w:val="24"/>
              </w:rPr>
              <w:t>签订合同后相关工作人员提供每年不少于4次培训。供应商应提供对采购人的基本培训，使采购人使用人员熟悉掌握培训内容，熟练掌握全部功能，培训的相关费用包括在报价中，采购人不再另行支付。</w:t>
            </w:r>
          </w:p>
        </w:tc>
      </w:tr>
    </w:tbl>
    <w:p/>
    <w:p>
      <w:pPr>
        <w:pStyle w:val="4"/>
      </w:pPr>
    </w:p>
    <w:p>
      <w:pPr>
        <w:spacing w:line="360" w:lineRule="auto"/>
        <w:rPr>
          <w:rFonts w:ascii="仿宋" w:hAnsi="仿宋" w:eastAsia="仿宋"/>
          <w:sz w:val="24"/>
        </w:rPr>
      </w:pPr>
      <w:r>
        <w:rPr>
          <w:rFonts w:hint="eastAsia" w:ascii="仿宋" w:hAnsi="仿宋" w:eastAsia="仿宋"/>
          <w:sz w:val="24"/>
        </w:rPr>
        <w:t>评分办法</w:t>
      </w:r>
    </w:p>
    <w:p>
      <w:pPr>
        <w:spacing w:line="360" w:lineRule="auto"/>
        <w:rPr>
          <w:rFonts w:ascii="仿宋" w:hAnsi="仿宋" w:eastAsia="仿宋"/>
          <w:sz w:val="24"/>
        </w:rPr>
      </w:pPr>
      <w:r>
        <w:rPr>
          <w:rFonts w:hint="eastAsia" w:ascii="仿宋" w:hAnsi="仿宋" w:eastAsia="仿宋"/>
          <w:sz w:val="24"/>
        </w:rPr>
        <w:t>一、评分项</w:t>
      </w:r>
    </w:p>
    <w:tbl>
      <w:tblPr>
        <w:tblStyle w:val="9"/>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560"/>
        <w:gridCol w:w="994"/>
        <w:gridCol w:w="6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9889" w:type="dxa"/>
            <w:gridSpan w:val="4"/>
            <w:vAlign w:val="center"/>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1.价格分（</w:t>
            </w:r>
            <w:r>
              <w:rPr>
                <w:rFonts w:hint="eastAsia" w:ascii="仿宋" w:hAnsi="仿宋" w:eastAsia="仿宋" w:cs="仿宋"/>
                <w:kern w:val="0"/>
                <w:sz w:val="24"/>
                <w:lang w:val="en-US" w:eastAsia="zh-CN"/>
              </w:rPr>
              <w:t>4</w:t>
            </w:r>
            <w:r>
              <w:rPr>
                <w:rFonts w:hint="eastAsia" w:ascii="仿宋" w:hAnsi="仿宋" w:eastAsia="仿宋" w:cs="仿宋"/>
                <w:kern w:val="0"/>
                <w:sz w:val="24"/>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816" w:type="dxa"/>
            <w:vAlign w:val="center"/>
          </w:tcPr>
          <w:p>
            <w:pPr>
              <w:widowControl/>
              <w:tabs>
                <w:tab w:val="left" w:pos="420"/>
              </w:tabs>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评分因素</w:t>
            </w:r>
          </w:p>
        </w:tc>
        <w:tc>
          <w:tcPr>
            <w:tcW w:w="994" w:type="dxa"/>
            <w:vAlign w:val="center"/>
          </w:tcPr>
          <w:p>
            <w:pPr>
              <w:widowControl/>
              <w:spacing w:before="156" w:beforeLines="50" w:after="156" w:afterLines="50" w:line="360" w:lineRule="auto"/>
              <w:jc w:val="center"/>
              <w:rPr>
                <w:rFonts w:ascii="仿宋" w:hAnsi="仿宋" w:eastAsia="仿宋" w:cs="仿宋"/>
                <w:kern w:val="0"/>
                <w:sz w:val="24"/>
              </w:rPr>
            </w:pPr>
            <w:r>
              <w:rPr>
                <w:rFonts w:hint="eastAsia" w:ascii="仿宋" w:hAnsi="仿宋" w:eastAsia="仿宋" w:cs="仿宋"/>
                <w:kern w:val="0"/>
                <w:sz w:val="24"/>
              </w:rPr>
              <w:t>分值</w:t>
            </w:r>
          </w:p>
        </w:tc>
        <w:tc>
          <w:tcPr>
            <w:tcW w:w="6519" w:type="dxa"/>
          </w:tcPr>
          <w:p>
            <w:pPr>
              <w:widowControl/>
              <w:spacing w:before="156" w:beforeLines="50" w:after="156" w:afterLines="50" w:line="360" w:lineRule="auto"/>
              <w:jc w:val="left"/>
              <w:rPr>
                <w:rFonts w:ascii="仿宋" w:hAnsi="仿宋" w:eastAsia="仿宋" w:cs="仿宋"/>
                <w:kern w:val="0"/>
                <w:sz w:val="24"/>
              </w:rPr>
            </w:pPr>
            <w:r>
              <w:rPr>
                <w:rFonts w:hint="eastAsia" w:ascii="仿宋" w:hAnsi="仿宋" w:eastAsia="仿宋" w:cs="仿宋"/>
                <w:kern w:val="0"/>
                <w:sz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816" w:type="dxa"/>
          </w:tcPr>
          <w:p>
            <w:pPr>
              <w:tabs>
                <w:tab w:val="left" w:pos="704"/>
                <w:tab w:val="left" w:pos="846"/>
              </w:tabs>
              <w:spacing w:line="360" w:lineRule="auto"/>
              <w:rPr>
                <w:rFonts w:ascii="仿宋" w:hAnsi="仿宋" w:eastAsia="仿宋" w:cs="仿宋"/>
                <w:sz w:val="24"/>
              </w:rPr>
            </w:pPr>
            <w:r>
              <w:rPr>
                <w:rFonts w:hint="eastAsia" w:ascii="仿宋" w:hAnsi="仿宋" w:eastAsia="仿宋" w:cs="仿宋"/>
                <w:color w:val="000000"/>
                <w:sz w:val="24"/>
              </w:rPr>
              <w:t>1</w:t>
            </w:r>
          </w:p>
        </w:tc>
        <w:tc>
          <w:tcPr>
            <w:tcW w:w="1560" w:type="dxa"/>
          </w:tcPr>
          <w:p>
            <w:pPr>
              <w:spacing w:line="360" w:lineRule="auto"/>
              <w:rPr>
                <w:rFonts w:ascii="仿宋" w:hAnsi="仿宋" w:eastAsia="仿宋" w:cs="仿宋"/>
                <w:sz w:val="24"/>
              </w:rPr>
            </w:pPr>
            <w:r>
              <w:rPr>
                <w:rFonts w:hint="eastAsia" w:ascii="仿宋" w:hAnsi="仿宋" w:eastAsia="仿宋" w:cs="仿宋"/>
                <w:color w:val="000000"/>
                <w:sz w:val="24"/>
              </w:rPr>
              <w:t>价格分</w:t>
            </w:r>
          </w:p>
        </w:tc>
        <w:tc>
          <w:tcPr>
            <w:tcW w:w="994" w:type="dxa"/>
          </w:tcPr>
          <w:p>
            <w:pPr>
              <w:spacing w:line="360" w:lineRule="auto"/>
              <w:rPr>
                <w:rFonts w:ascii="仿宋" w:hAnsi="仿宋" w:eastAsia="仿宋" w:cs="仿宋"/>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0分</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满足招标文件要求且投标价格最低的投标报价为评标基准价，其价格分为满分。其他投标单位的价格分统一按照下列公式计算：</w:t>
            </w:r>
          </w:p>
          <w:p>
            <w:pPr>
              <w:spacing w:line="360" w:lineRule="auto"/>
              <w:rPr>
                <w:rFonts w:hint="default" w:ascii="仿宋" w:hAnsi="仿宋" w:eastAsia="仿宋" w:cs="仿宋"/>
                <w:sz w:val="24"/>
                <w:lang w:val="en-US" w:eastAsia="zh-CN"/>
              </w:rPr>
            </w:pPr>
            <w:r>
              <w:rPr>
                <w:rFonts w:hint="eastAsia" w:ascii="仿宋" w:hAnsi="仿宋" w:eastAsia="仿宋" w:cs="仿宋"/>
                <w:kern w:val="0"/>
                <w:sz w:val="24"/>
              </w:rPr>
              <w:t>投标报价得分=(评标基准价／投标报价)×</w:t>
            </w:r>
            <w:r>
              <w:rPr>
                <w:rFonts w:hint="eastAsia" w:ascii="仿宋" w:hAnsi="仿宋" w:eastAsia="仿宋" w:cs="仿宋"/>
                <w:kern w:val="0"/>
                <w:sz w:val="24"/>
                <w:lang w:val="en-US" w:eastAsia="zh-CN"/>
              </w:rPr>
              <w:t>4</w:t>
            </w:r>
            <w:bookmarkStart w:id="1" w:name="_GoBack"/>
            <w:bookmarkEnd w:id="1"/>
            <w:r>
              <w:rPr>
                <w:rFonts w:hint="eastAsia" w:ascii="仿宋" w:hAnsi="仿宋" w:eastAsia="仿宋" w:cs="仿宋"/>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89" w:type="dxa"/>
            <w:gridSpan w:val="4"/>
            <w:vAlign w:val="center"/>
          </w:tcPr>
          <w:p>
            <w:pPr>
              <w:spacing w:line="400" w:lineRule="exact"/>
              <w:rPr>
                <w:rFonts w:ascii="仿宋" w:hAnsi="仿宋" w:eastAsia="仿宋"/>
                <w:bCs/>
                <w:sz w:val="24"/>
              </w:rPr>
            </w:pPr>
            <w:r>
              <w:rPr>
                <w:rFonts w:hint="eastAsia" w:ascii="仿宋" w:hAnsi="仿宋" w:eastAsia="仿宋" w:cs="仿宋"/>
                <w:kern w:val="0"/>
                <w:sz w:val="24"/>
                <w:szCs w:val="20"/>
              </w:rPr>
              <w:t>2</w:t>
            </w:r>
            <w:r>
              <w:rPr>
                <w:rFonts w:hint="eastAsia" w:ascii="仿宋" w:hAnsi="仿宋" w:eastAsia="仿宋" w:cs="仿宋"/>
                <w:color w:val="000000"/>
                <w:sz w:val="24"/>
              </w:rPr>
              <w:t>.项目要求及技术需求响应分（</w:t>
            </w:r>
            <w:r>
              <w:rPr>
                <w:rFonts w:hint="eastAsia" w:ascii="仿宋" w:hAnsi="仿宋" w:eastAsia="仿宋" w:cs="仿宋"/>
                <w:color w:val="000000"/>
                <w:sz w:val="24"/>
                <w:lang w:val="en-US" w:eastAsia="zh-CN"/>
              </w:rPr>
              <w:t>20</w:t>
            </w:r>
            <w:r>
              <w:rPr>
                <w:rFonts w:hint="eastAsia" w:ascii="仿宋" w:hAnsi="仿宋" w:eastAsia="仿宋" w:cs="仿宋"/>
                <w:color w:val="00000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highlight w:val="yellow"/>
              </w:rPr>
            </w:pPr>
            <w:r>
              <w:rPr>
                <w:rFonts w:hint="eastAsia" w:ascii="仿宋" w:hAnsi="仿宋" w:eastAsia="仿宋" w:cs="仿宋"/>
                <w:kern w:val="0"/>
                <w:sz w:val="24"/>
                <w:highlight w:val="yellow"/>
              </w:rPr>
              <w:t>技术性能分</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lang w:val="en-US" w:eastAsia="zh-CN"/>
              </w:rPr>
              <w:t>16</w:t>
            </w:r>
            <w:r>
              <w:rPr>
                <w:rFonts w:hint="eastAsia" w:ascii="仿宋" w:hAnsi="仿宋" w:eastAsia="仿宋" w:cs="仿宋"/>
                <w:kern w:val="0"/>
                <w:sz w:val="24"/>
              </w:rPr>
              <w:t>分</w:t>
            </w:r>
          </w:p>
        </w:tc>
        <w:tc>
          <w:tcPr>
            <w:tcW w:w="6519" w:type="dxa"/>
          </w:tcPr>
          <w:p>
            <w:pPr>
              <w:widowControl/>
              <w:spacing w:line="360" w:lineRule="auto"/>
              <w:rPr>
                <w:rFonts w:hint="eastAsia" w:ascii="仿宋" w:hAnsi="仿宋" w:eastAsia="仿宋" w:cs="仿宋"/>
                <w:kern w:val="0"/>
                <w:sz w:val="24"/>
              </w:rPr>
            </w:pPr>
            <w:r>
              <w:rPr>
                <w:rFonts w:hint="eastAsia" w:ascii="仿宋" w:hAnsi="仿宋" w:eastAsia="仿宋" w:cs="仿宋"/>
                <w:kern w:val="0"/>
                <w:sz w:val="24"/>
              </w:rPr>
              <w:t>产品技术参数全部满足询价要求的得满分</w:t>
            </w:r>
            <w:r>
              <w:rPr>
                <w:rFonts w:hint="eastAsia" w:ascii="仿宋" w:hAnsi="仿宋" w:eastAsia="仿宋" w:cs="仿宋"/>
                <w:kern w:val="0"/>
                <w:sz w:val="24"/>
                <w:lang w:val="en-US" w:eastAsia="zh-CN"/>
              </w:rPr>
              <w:t>16</w:t>
            </w:r>
            <w:r>
              <w:rPr>
                <w:rFonts w:hint="eastAsia" w:ascii="仿宋" w:hAnsi="仿宋" w:eastAsia="仿宋" w:cs="仿宋"/>
                <w:kern w:val="0"/>
                <w:sz w:val="24"/>
              </w:rPr>
              <w:t>分；参数每项负偏离扣</w:t>
            </w:r>
            <w:r>
              <w:rPr>
                <w:rFonts w:hint="eastAsia" w:ascii="仿宋" w:hAnsi="仿宋" w:eastAsia="仿宋" w:cs="仿宋"/>
                <w:kern w:val="0"/>
                <w:sz w:val="24"/>
                <w:lang w:val="en-US" w:eastAsia="zh-CN"/>
              </w:rPr>
              <w:t>1</w:t>
            </w:r>
            <w:r>
              <w:rPr>
                <w:rFonts w:hint="eastAsia" w:ascii="仿宋" w:hAnsi="仿宋" w:eastAsia="仿宋" w:cs="仿宋"/>
                <w:kern w:val="0"/>
                <w:sz w:val="24"/>
              </w:rPr>
              <w:t>分，分数扣完为止；注：不编列技术偏离表或技术偏离表与项目采购需求不实行一一对照的，扣5分。</w:t>
            </w:r>
          </w:p>
          <w:p>
            <w:pPr>
              <w:widowControl/>
              <w:spacing w:line="360" w:lineRule="auto"/>
              <w:rPr>
                <w:rFonts w:hint="eastAsia" w:ascii="仿宋" w:hAnsi="仿宋" w:eastAsia="仿宋" w:cs="仿宋"/>
                <w:kern w:val="0"/>
                <w:sz w:val="24"/>
              </w:rPr>
            </w:pPr>
            <w:r>
              <w:rPr>
                <w:rFonts w:hint="eastAsia" w:ascii="仿宋" w:hAnsi="仿宋" w:eastAsia="仿宋" w:cs="仿宋"/>
                <w:kern w:val="0"/>
                <w:sz w:val="24"/>
              </w:rPr>
              <w:t>核心技术条款：。</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816" w:type="dxa"/>
            <w:vAlign w:val="center"/>
          </w:tcPr>
          <w:p>
            <w:pPr>
              <w:widowControl/>
              <w:spacing w:line="360" w:lineRule="auto"/>
              <w:rPr>
                <w:rFonts w:hint="eastAsia"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现场演示分</w:t>
            </w:r>
          </w:p>
        </w:tc>
        <w:tc>
          <w:tcPr>
            <w:tcW w:w="994" w:type="dxa"/>
            <w:vAlign w:val="center"/>
          </w:tcPr>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分</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参询人对采购需求一览表中带有“</w:t>
            </w:r>
            <w:r>
              <w:rPr>
                <w:rFonts w:hint="eastAsia" w:ascii="微软雅黑" w:hAnsi="微软雅黑" w:eastAsia="微软雅黑" w:cs="微软雅黑"/>
                <w:sz w:val="24"/>
              </w:rPr>
              <w:t>▲</w:t>
            </w:r>
            <w:r>
              <w:rPr>
                <w:rFonts w:ascii="仿宋" w:hAnsi="仿宋" w:eastAsia="仿宋" w:cs="仿宋"/>
                <w:kern w:val="0"/>
                <w:sz w:val="24"/>
              </w:rPr>
              <w:t>”</w:t>
            </w:r>
            <w:r>
              <w:rPr>
                <w:rFonts w:hint="eastAsia" w:ascii="仿宋" w:hAnsi="仿宋" w:eastAsia="仿宋" w:cs="仿宋"/>
                <w:kern w:val="0"/>
                <w:sz w:val="24"/>
              </w:rPr>
              <w:t>的功能描述点进行现场演示，评委在打分前根据各参询人所进行的功能演示过程中体现的各功能的完整性、操作方便、响应快捷、安全性及演示的效果等方面进行综合评定，本项满分为</w:t>
            </w:r>
            <w:r>
              <w:rPr>
                <w:rFonts w:hint="eastAsia" w:ascii="仿宋" w:hAnsi="仿宋" w:eastAsia="仿宋" w:cs="仿宋"/>
                <w:kern w:val="0"/>
                <w:sz w:val="24"/>
                <w:lang w:val="en-US" w:eastAsia="zh-CN"/>
              </w:rPr>
              <w:t>4</w:t>
            </w:r>
            <w:r>
              <w:rPr>
                <w:rFonts w:hint="eastAsia" w:ascii="仿宋" w:hAnsi="仿宋" w:eastAsia="仿宋" w:cs="仿宋"/>
                <w:kern w:val="0"/>
                <w:sz w:val="24"/>
              </w:rPr>
              <w:t>分，每完成一项“</w:t>
            </w:r>
            <w:r>
              <w:rPr>
                <w:rFonts w:hint="eastAsia" w:ascii="微软雅黑" w:hAnsi="微软雅黑" w:eastAsia="微软雅黑" w:cs="微软雅黑"/>
                <w:sz w:val="24"/>
              </w:rPr>
              <w:t>▲</w:t>
            </w:r>
            <w:r>
              <w:rPr>
                <w:rFonts w:ascii="仿宋" w:hAnsi="仿宋" w:eastAsia="仿宋" w:cs="仿宋"/>
                <w:kern w:val="0"/>
                <w:sz w:val="24"/>
              </w:rPr>
              <w:t>”</w:t>
            </w:r>
            <w:r>
              <w:rPr>
                <w:rFonts w:hint="eastAsia" w:ascii="仿宋" w:hAnsi="仿宋" w:eastAsia="仿宋" w:cs="仿宋"/>
                <w:kern w:val="0"/>
                <w:sz w:val="24"/>
              </w:rPr>
              <w:t>的功能演示得2分。</w:t>
            </w:r>
          </w:p>
          <w:p>
            <w:pPr>
              <w:widowControl/>
              <w:spacing w:line="360" w:lineRule="auto"/>
              <w:rPr>
                <w:rFonts w:hint="eastAsia" w:ascii="仿宋" w:hAnsi="仿宋" w:eastAsia="仿宋" w:cs="仿宋"/>
                <w:kern w:val="0"/>
                <w:sz w:val="24"/>
              </w:rPr>
            </w:pPr>
            <w:r>
              <w:rPr>
                <w:rFonts w:hint="eastAsia" w:ascii="仿宋" w:hAnsi="仿宋" w:eastAsia="仿宋" w:cs="仿宋"/>
                <w:kern w:val="0"/>
                <w:sz w:val="24"/>
              </w:rPr>
              <w:t>注：参询人未做现场演示的、无法完成演示的，或者仅用图片、演示文稿、录屏演示等成果呈现方式进行现场演示的，此项均记“0“分。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988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3.履约能力分（</w:t>
            </w:r>
            <w:r>
              <w:rPr>
                <w:rFonts w:ascii="仿宋" w:hAnsi="仿宋" w:eastAsia="仿宋" w:cs="仿宋"/>
                <w:kern w:val="0"/>
                <w:sz w:val="24"/>
              </w:rPr>
              <w:t>2</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序号</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评分项目</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分值</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评分方式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hint="eastAsia"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hint="eastAsia" w:ascii="仿宋" w:hAnsi="仿宋" w:eastAsia="仿宋" w:cs="仿宋"/>
                <w:kern w:val="0"/>
                <w:sz w:val="24"/>
                <w:highlight w:val="yellow"/>
              </w:rPr>
            </w:pPr>
            <w:r>
              <w:rPr>
                <w:rFonts w:hint="eastAsia" w:ascii="仿宋" w:hAnsi="仿宋" w:eastAsia="仿宋" w:cs="仿宋"/>
                <w:kern w:val="0"/>
                <w:sz w:val="24"/>
                <w:highlight w:val="yellow"/>
              </w:rPr>
              <w:t>综合资质分</w:t>
            </w:r>
          </w:p>
        </w:tc>
        <w:tc>
          <w:tcPr>
            <w:tcW w:w="994" w:type="dxa"/>
            <w:vAlign w:val="center"/>
          </w:tcPr>
          <w:p>
            <w:pPr>
              <w:widowControl/>
              <w:spacing w:line="360" w:lineRule="auto"/>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c>
          <w:tcPr>
            <w:tcW w:w="6519" w:type="dxa"/>
          </w:tcPr>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1、</w:t>
            </w:r>
            <w:r>
              <w:rPr>
                <w:rFonts w:hint="eastAsia" w:ascii="仿宋" w:hAnsi="仿宋" w:eastAsia="仿宋" w:cs="仿宋"/>
                <w:kern w:val="0"/>
                <w:sz w:val="24"/>
              </w:rPr>
              <w:t>根据各投标人投入本项目的团队实力：项目负责人、成员的资质及人员配置情况3人及以上为满分。（</w:t>
            </w:r>
            <w:r>
              <w:rPr>
                <w:rFonts w:ascii="仿宋" w:hAnsi="仿宋" w:eastAsia="仿宋" w:cs="仿宋"/>
                <w:kern w:val="0"/>
                <w:sz w:val="24"/>
              </w:rPr>
              <w:t>3</w:t>
            </w:r>
            <w:r>
              <w:rPr>
                <w:rFonts w:hint="eastAsia" w:ascii="仿宋" w:hAnsi="仿宋" w:eastAsia="仿宋" w:cs="仿宋"/>
                <w:kern w:val="0"/>
                <w:sz w:val="24"/>
              </w:rPr>
              <w:t>分）少一人扣</w:t>
            </w:r>
            <w:r>
              <w:rPr>
                <w:rFonts w:ascii="仿宋" w:hAnsi="仿宋" w:eastAsia="仿宋" w:cs="仿宋"/>
                <w:kern w:val="0"/>
                <w:sz w:val="24"/>
              </w:rPr>
              <w:t>1</w:t>
            </w:r>
            <w:r>
              <w:rPr>
                <w:rFonts w:hint="eastAsia" w:ascii="仿宋" w:hAnsi="仿宋" w:eastAsia="仿宋" w:cs="仿宋"/>
                <w:kern w:val="0"/>
                <w:sz w:val="24"/>
              </w:rPr>
              <w:t>分</w:t>
            </w:r>
          </w:p>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2、</w:t>
            </w:r>
            <w:r>
              <w:rPr>
                <w:rFonts w:hint="eastAsia" w:ascii="仿宋" w:hAnsi="仿宋" w:eastAsia="仿宋" w:cs="仿宋"/>
                <w:kern w:val="0"/>
                <w:sz w:val="24"/>
              </w:rPr>
              <w:t>提供投标人的财务状况（近三年的财务报表）1分</w:t>
            </w:r>
          </w:p>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3、</w:t>
            </w:r>
            <w:r>
              <w:rPr>
                <w:rFonts w:hint="eastAsia" w:ascii="仿宋" w:hAnsi="仿宋" w:eastAsia="仿宋" w:cs="仿宋"/>
                <w:kern w:val="0"/>
                <w:sz w:val="24"/>
              </w:rPr>
              <w:t>知识产权贯标管理体系认证</w:t>
            </w:r>
            <w:r>
              <w:rPr>
                <w:rFonts w:ascii="仿宋" w:hAnsi="仿宋" w:eastAsia="仿宋" w:cs="仿宋"/>
                <w:kern w:val="0"/>
                <w:sz w:val="24"/>
              </w:rPr>
              <w:t>1</w:t>
            </w:r>
            <w:r>
              <w:rPr>
                <w:rFonts w:hint="eastAsia" w:ascii="仿宋" w:hAnsi="仿宋" w:eastAsia="仿宋" w:cs="仿宋"/>
                <w:kern w:val="0"/>
                <w:sz w:val="24"/>
              </w:rPr>
              <w:t>分</w:t>
            </w:r>
          </w:p>
          <w:p>
            <w:pPr>
              <w:widowControl/>
              <w:spacing w:line="360" w:lineRule="auto"/>
              <w:rPr>
                <w:rFonts w:hint="eastAsia" w:ascii="仿宋" w:hAnsi="仿宋" w:eastAsia="仿宋" w:cs="仿宋"/>
                <w:kern w:val="0"/>
                <w:sz w:val="24"/>
              </w:rPr>
            </w:pPr>
            <w:r>
              <w:rPr>
                <w:rFonts w:hint="eastAsia" w:ascii="仿宋" w:hAnsi="仿宋" w:eastAsia="仿宋" w:cs="仿宋"/>
                <w:kern w:val="0"/>
                <w:sz w:val="24"/>
                <w:lang w:val="en-US" w:eastAsia="zh-CN"/>
              </w:rPr>
              <w:t>4、</w:t>
            </w:r>
            <w:r>
              <w:rPr>
                <w:rFonts w:hint="eastAsia" w:ascii="仿宋" w:hAnsi="仿宋" w:eastAsia="仿宋" w:cs="仿宋"/>
                <w:kern w:val="0"/>
                <w:sz w:val="24"/>
              </w:rPr>
              <w:t>有效期内的国家高新企业认证</w:t>
            </w:r>
            <w:r>
              <w:rPr>
                <w:rFonts w:ascii="仿宋" w:hAnsi="仿宋" w:eastAsia="仿宋" w:cs="仿宋"/>
                <w:kern w:val="0"/>
                <w:sz w:val="24"/>
              </w:rPr>
              <w:t>1</w:t>
            </w:r>
            <w:r>
              <w:rPr>
                <w:rFonts w:hint="eastAsia" w:ascii="仿宋" w:hAnsi="仿宋" w:eastAsia="仿宋" w:cs="仿宋"/>
                <w:kern w:val="0"/>
                <w:sz w:val="24"/>
              </w:rPr>
              <w:t>分</w:t>
            </w:r>
          </w:p>
          <w:p>
            <w:pPr>
              <w:widowControl/>
              <w:spacing w:line="360" w:lineRule="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w:t>
            </w:r>
            <w:r>
              <w:rPr>
                <w:rFonts w:hint="eastAsia" w:ascii="仿宋" w:hAnsi="仿宋" w:eastAsia="仿宋" w:cs="仿宋"/>
                <w:kern w:val="0"/>
                <w:sz w:val="24"/>
              </w:rPr>
              <w:t>省级或以上专精特新企业认证。</w:t>
            </w:r>
            <w:r>
              <w:rPr>
                <w:rFonts w:ascii="仿宋" w:hAnsi="仿宋" w:eastAsia="仿宋" w:cs="仿宋"/>
                <w:kern w:val="0"/>
                <w:sz w:val="24"/>
              </w:rPr>
              <w:t>1</w:t>
            </w:r>
            <w:r>
              <w:rPr>
                <w:rFonts w:hint="eastAsia" w:ascii="仿宋" w:hAnsi="仿宋" w:eastAsia="仿宋" w:cs="仿宋"/>
                <w:kern w:val="0"/>
                <w:sz w:val="24"/>
              </w:rPr>
              <w:t>分</w:t>
            </w:r>
          </w:p>
          <w:p>
            <w:pPr>
              <w:widowControl/>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6、</w:t>
            </w:r>
            <w:r>
              <w:rPr>
                <w:rFonts w:hint="eastAsia" w:ascii="仿宋" w:hAnsi="仿宋" w:eastAsia="仿宋" w:cs="仿宋"/>
                <w:kern w:val="0"/>
                <w:sz w:val="24"/>
              </w:rPr>
              <w:t>提供生产厂端的互联网出版许可证</w:t>
            </w:r>
            <w:r>
              <w:rPr>
                <w:rFonts w:hint="eastAsia" w:ascii="仿宋" w:hAnsi="仿宋" w:eastAsia="仿宋" w:cs="仿宋"/>
                <w:kern w:val="0"/>
                <w:sz w:val="24"/>
                <w:lang w:val="en-US" w:eastAsia="zh-CN"/>
              </w:rPr>
              <w:t>。1分</w:t>
            </w:r>
          </w:p>
          <w:p>
            <w:pPr>
              <w:widowControl/>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7、</w:t>
            </w:r>
            <w:r>
              <w:rPr>
                <w:rFonts w:hint="eastAsia" w:ascii="仿宋" w:hAnsi="仿宋" w:eastAsia="仿宋" w:cs="仿宋"/>
                <w:kern w:val="0"/>
                <w:sz w:val="24"/>
              </w:rPr>
              <w:t>出版物经营许可证</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1分</w:t>
            </w:r>
          </w:p>
          <w:p>
            <w:pPr>
              <w:widowControl/>
              <w:spacing w:line="360" w:lineRule="auto"/>
              <w:rPr>
                <w:rFonts w:hint="default" w:ascii="仿宋" w:hAnsi="仿宋" w:eastAsia="仿宋" w:cs="仿宋"/>
                <w:kern w:val="0"/>
                <w:sz w:val="24"/>
                <w:lang w:val="en-US" w:eastAsia="zh-CN"/>
              </w:rPr>
            </w:pPr>
            <w:r>
              <w:rPr>
                <w:rFonts w:hint="eastAsia" w:ascii="仿宋" w:hAnsi="仿宋" w:eastAsia="仿宋" w:cs="仿宋"/>
                <w:kern w:val="0"/>
                <w:sz w:val="24"/>
                <w:lang w:val="en-US" w:eastAsia="zh-CN"/>
              </w:rPr>
              <w:t>8、</w:t>
            </w:r>
            <w:r>
              <w:rPr>
                <w:rFonts w:hint="eastAsia" w:ascii="仿宋" w:hAnsi="仿宋" w:eastAsia="仿宋" w:cs="仿宋"/>
                <w:kern w:val="0"/>
                <w:sz w:val="24"/>
              </w:rPr>
              <w:t>电信与信息服务业务经营许可证</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1分</w:t>
            </w:r>
          </w:p>
          <w:p>
            <w:pPr>
              <w:widowControl/>
              <w:spacing w:line="360" w:lineRule="auto"/>
              <w:rPr>
                <w:rFonts w:hint="default" w:ascii="仿宋" w:hAnsi="仿宋" w:eastAsia="仿宋" w:cs="仿宋"/>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ascii="仿宋" w:hAnsi="仿宋" w:eastAsia="仿宋" w:cs="仿宋"/>
                <w:kern w:val="0"/>
                <w:sz w:val="24"/>
              </w:rPr>
              <w:t>3</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业绩分</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10分</w:t>
            </w:r>
          </w:p>
        </w:tc>
        <w:tc>
          <w:tcPr>
            <w:tcW w:w="6519" w:type="dxa"/>
          </w:tcPr>
          <w:p>
            <w:pPr>
              <w:widowControl/>
              <w:spacing w:line="360" w:lineRule="auto"/>
              <w:rPr>
                <w:rFonts w:ascii="仿宋" w:hAnsi="仿宋" w:eastAsia="仿宋" w:cs="仿宋"/>
                <w:kern w:val="0"/>
                <w:sz w:val="24"/>
              </w:rPr>
            </w:pPr>
            <w:r>
              <w:rPr>
                <w:rFonts w:hint="eastAsia" w:ascii="仿宋" w:hAnsi="仿宋" w:eastAsia="仿宋" w:cs="仿宋"/>
                <w:kern w:val="0"/>
                <w:sz w:val="24"/>
              </w:rPr>
              <w:t>根据各投标人所提供的2018年至今广西同类项目业绩，每个</w:t>
            </w:r>
            <w:r>
              <w:rPr>
                <w:rFonts w:hint="eastAsia" w:ascii="仿宋" w:hAnsi="仿宋" w:eastAsia="仿宋" w:cs="仿宋"/>
                <w:kern w:val="0"/>
                <w:sz w:val="24"/>
                <w:lang w:val="en-US" w:eastAsia="zh-CN"/>
              </w:rPr>
              <w:t>2</w:t>
            </w:r>
            <w:r>
              <w:rPr>
                <w:rFonts w:hint="eastAsia" w:ascii="仿宋" w:hAnsi="仿宋" w:eastAsia="仿宋" w:cs="仿宋"/>
                <w:kern w:val="0"/>
                <w:sz w:val="24"/>
              </w:rPr>
              <w:t>分，最高分</w:t>
            </w:r>
            <w:r>
              <w:rPr>
                <w:rFonts w:ascii="仿宋" w:hAnsi="仿宋" w:eastAsia="仿宋" w:cs="仿宋"/>
                <w:kern w:val="0"/>
                <w:sz w:val="24"/>
              </w:rPr>
              <w:t>10</w:t>
            </w:r>
            <w:r>
              <w:rPr>
                <w:rFonts w:hint="eastAsia" w:ascii="仿宋" w:hAnsi="仿宋" w:eastAsia="仿宋" w:cs="仿宋"/>
                <w:kern w:val="0"/>
                <w:sz w:val="24"/>
              </w:rPr>
              <w:t>分。提供同类业绩证明文件应包括合同关键页加盖公章。否则，视为无效业绩。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889" w:type="dxa"/>
            <w:gridSpan w:val="4"/>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4.售后服务分（2</w:t>
            </w:r>
            <w:r>
              <w:rPr>
                <w:rFonts w:hint="eastAsia" w:ascii="仿宋" w:hAnsi="仿宋" w:eastAsia="仿宋" w:cs="仿宋"/>
                <w:kern w:val="0"/>
                <w:sz w:val="24"/>
                <w:lang w:val="en-US" w:eastAsia="zh-CN"/>
              </w:rPr>
              <w:t>0</w:t>
            </w:r>
            <w:r>
              <w:rPr>
                <w:rFonts w:hint="eastAsia" w:ascii="仿宋" w:hAnsi="仿宋" w:eastAsia="仿宋" w:cs="仿宋"/>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1</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售后服务方案</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6分</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一档：①售后方案详细，有具体的人员安排、服务计划，有具体的售后服务措施及相关承诺、无后续系统完善升级服务、无日常系统应用技术支持服务，得0~2分。</w:t>
            </w:r>
          </w:p>
          <w:p>
            <w:pPr>
              <w:widowControl/>
              <w:spacing w:line="360" w:lineRule="auto"/>
              <w:rPr>
                <w:rFonts w:ascii="仿宋" w:hAnsi="仿宋" w:eastAsia="仿宋" w:cs="仿宋"/>
                <w:kern w:val="0"/>
                <w:sz w:val="24"/>
              </w:rPr>
            </w:pPr>
            <w:r>
              <w:rPr>
                <w:rFonts w:hint="eastAsia" w:ascii="仿宋" w:hAnsi="仿宋" w:eastAsia="仿宋" w:cs="仿宋"/>
                <w:kern w:val="0"/>
                <w:sz w:val="24"/>
              </w:rPr>
              <w:t>二档：②售后方案有具体的人员安排、服务计划，有具体的售后服务措施及相关承诺、有后续系统完善升级服务、无日常系统应用技术支持服务，得2.1~4分。</w:t>
            </w:r>
          </w:p>
          <w:p>
            <w:pPr>
              <w:widowControl/>
              <w:spacing w:line="360" w:lineRule="auto"/>
              <w:rPr>
                <w:rFonts w:ascii="仿宋" w:hAnsi="仿宋" w:eastAsia="仿宋" w:cs="仿宋"/>
                <w:kern w:val="0"/>
                <w:sz w:val="24"/>
              </w:rPr>
            </w:pPr>
            <w:r>
              <w:rPr>
                <w:rFonts w:hint="eastAsia" w:ascii="仿宋" w:hAnsi="仿宋" w:eastAsia="仿宋" w:cs="仿宋"/>
                <w:kern w:val="0"/>
                <w:sz w:val="24"/>
              </w:rPr>
              <w:t>三档：③有售后方案，有具体的人员安排、服务计划，有具体的售后服务措施及相关承诺、有后续系统完善升级服务、有日常系统应用技术支持服务及相关承诺，得4.1~6分。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2</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故障响应服务，分档次</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8分</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①遇故障响应时间在1小时内提供远程服务，如无法解决可在6小时内到现场处置；得2分；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②遇故障响应时间在20分钟以上提供远程服务，如无法解决可在4小时内到现场处置，得4分；</w:t>
            </w:r>
          </w:p>
          <w:p>
            <w:pPr>
              <w:widowControl/>
              <w:spacing w:line="360" w:lineRule="auto"/>
              <w:rPr>
                <w:rFonts w:ascii="仿宋" w:hAnsi="仿宋" w:eastAsia="仿宋" w:cs="仿宋"/>
                <w:kern w:val="0"/>
                <w:sz w:val="24"/>
              </w:rPr>
            </w:pPr>
            <w:r>
              <w:rPr>
                <w:rFonts w:hint="eastAsia" w:ascii="仿宋" w:hAnsi="仿宋" w:eastAsia="仿宋" w:cs="仿宋"/>
                <w:kern w:val="0"/>
                <w:sz w:val="24"/>
              </w:rPr>
              <w:t xml:space="preserve"> ③遇故障在20分钟内提供远程服务，如无法解决可在2小时内到现场处置，得6分；</w:t>
            </w:r>
          </w:p>
          <w:p>
            <w:pPr>
              <w:widowControl/>
              <w:spacing w:line="360" w:lineRule="auto"/>
              <w:rPr>
                <w:rFonts w:ascii="仿宋" w:hAnsi="仿宋" w:eastAsia="仿宋" w:cs="仿宋"/>
                <w:kern w:val="0"/>
                <w:sz w:val="24"/>
              </w:rPr>
            </w:pPr>
            <w:r>
              <w:rPr>
                <w:rFonts w:hint="eastAsia" w:ascii="仿宋" w:hAnsi="仿宋" w:eastAsia="仿宋" w:cs="仿宋"/>
                <w:kern w:val="0"/>
                <w:sz w:val="24"/>
              </w:rPr>
              <w:fldChar w:fldCharType="begin"/>
            </w:r>
            <w:r>
              <w:rPr>
                <w:rFonts w:hint="eastAsia" w:ascii="仿宋" w:hAnsi="仿宋" w:eastAsia="仿宋" w:cs="仿宋"/>
                <w:kern w:val="0"/>
                <w:sz w:val="24"/>
              </w:rPr>
              <w:instrText xml:space="preserve"> = 4 \* GB3 </w:instrText>
            </w:r>
            <w:r>
              <w:rPr>
                <w:rFonts w:hint="eastAsia" w:ascii="仿宋" w:hAnsi="仿宋" w:eastAsia="仿宋" w:cs="仿宋"/>
                <w:kern w:val="0"/>
                <w:sz w:val="24"/>
              </w:rPr>
              <w:fldChar w:fldCharType="separate"/>
            </w:r>
            <w:r>
              <w:rPr>
                <w:rFonts w:hint="eastAsia" w:ascii="仿宋" w:hAnsi="仿宋" w:eastAsia="仿宋" w:cs="仿宋"/>
                <w:kern w:val="0"/>
                <w:sz w:val="24"/>
              </w:rPr>
              <w:t>④</w:t>
            </w:r>
            <w:r>
              <w:rPr>
                <w:rFonts w:hint="eastAsia" w:ascii="仿宋" w:hAnsi="仿宋" w:eastAsia="仿宋" w:cs="仿宋"/>
                <w:kern w:val="0"/>
                <w:sz w:val="24"/>
              </w:rPr>
              <w:fldChar w:fldCharType="end"/>
            </w:r>
            <w:r>
              <w:rPr>
                <w:rFonts w:hint="eastAsia" w:ascii="仿宋" w:hAnsi="仿宋" w:eastAsia="仿宋" w:cs="仿宋"/>
                <w:kern w:val="0"/>
                <w:sz w:val="24"/>
              </w:rPr>
              <w:t>遇故障在20分钟内提供远程服务，如无法解决可在1小时内到现场处置，得8分；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免费巡检维保服务分</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3分</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①质保期内提供到现场免费巡检维保服务，一年2次的，得1分；</w:t>
            </w:r>
          </w:p>
          <w:p>
            <w:pPr>
              <w:widowControl/>
              <w:spacing w:line="360" w:lineRule="auto"/>
              <w:rPr>
                <w:rFonts w:ascii="仿宋" w:hAnsi="仿宋" w:eastAsia="仿宋" w:cs="仿宋"/>
                <w:kern w:val="0"/>
                <w:sz w:val="24"/>
              </w:rPr>
            </w:pPr>
            <w:r>
              <w:rPr>
                <w:rFonts w:hint="eastAsia" w:ascii="仿宋" w:hAnsi="仿宋" w:eastAsia="仿宋" w:cs="仿宋"/>
                <w:kern w:val="0"/>
                <w:sz w:val="24"/>
              </w:rPr>
              <w:t>②质保期内提供到现场免费巡检维保服务，一年3次的，得2分；</w:t>
            </w:r>
          </w:p>
          <w:p>
            <w:pPr>
              <w:widowControl/>
              <w:spacing w:line="360" w:lineRule="auto"/>
              <w:rPr>
                <w:rFonts w:ascii="仿宋" w:hAnsi="仿宋" w:eastAsia="仿宋" w:cs="仿宋"/>
                <w:kern w:val="0"/>
                <w:sz w:val="24"/>
              </w:rPr>
            </w:pPr>
            <w:r>
              <w:rPr>
                <w:rFonts w:hint="eastAsia" w:ascii="仿宋" w:hAnsi="仿宋" w:eastAsia="仿宋" w:cs="仿宋"/>
                <w:kern w:val="0"/>
                <w:sz w:val="24"/>
              </w:rPr>
              <w:t>③质保期内提供到现场免费巡检维保服务，一年4次的，得3分。</w:t>
            </w:r>
          </w:p>
          <w:p>
            <w:pPr>
              <w:widowControl/>
              <w:spacing w:line="360" w:lineRule="auto"/>
              <w:rPr>
                <w:rFonts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816"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4</w:t>
            </w:r>
          </w:p>
        </w:tc>
        <w:tc>
          <w:tcPr>
            <w:tcW w:w="1560"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售后免费质保：</w:t>
            </w:r>
          </w:p>
        </w:tc>
        <w:tc>
          <w:tcPr>
            <w:tcW w:w="994"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3分</w:t>
            </w:r>
          </w:p>
        </w:tc>
        <w:tc>
          <w:tcPr>
            <w:tcW w:w="6519" w:type="dxa"/>
            <w:vAlign w:val="center"/>
          </w:tcPr>
          <w:p>
            <w:pPr>
              <w:widowControl/>
              <w:spacing w:line="360" w:lineRule="auto"/>
              <w:rPr>
                <w:rFonts w:ascii="仿宋" w:hAnsi="仿宋" w:eastAsia="仿宋" w:cs="仿宋"/>
                <w:kern w:val="0"/>
                <w:sz w:val="24"/>
              </w:rPr>
            </w:pPr>
            <w:r>
              <w:rPr>
                <w:rFonts w:hint="eastAsia" w:ascii="仿宋" w:hAnsi="仿宋" w:eastAsia="仿宋" w:cs="仿宋"/>
                <w:kern w:val="0"/>
                <w:sz w:val="24"/>
              </w:rPr>
              <w:t>软件部分提供免费服务的质保时间超过1年以上的，每增加1年，得1分，总分3分。</w:t>
            </w:r>
          </w:p>
          <w:p>
            <w:pPr>
              <w:widowControl/>
              <w:spacing w:line="360" w:lineRule="auto"/>
              <w:rPr>
                <w:rFonts w:ascii="仿宋" w:hAnsi="仿宋" w:eastAsia="仿宋" w:cs="仿宋"/>
                <w:kern w:val="0"/>
                <w:sz w:val="24"/>
              </w:rPr>
            </w:pPr>
          </w:p>
        </w:tc>
      </w:tr>
    </w:tbl>
    <w:p>
      <w:pPr>
        <w:spacing w:line="360" w:lineRule="auto"/>
        <w:rPr>
          <w:rFonts w:ascii="仿宋" w:hAnsi="仿宋" w:eastAsia="仿宋"/>
          <w:b/>
          <w:sz w:val="24"/>
        </w:rPr>
      </w:pPr>
      <w:bookmarkStart w:id="0" w:name="_Toc4875"/>
      <w:r>
        <w:rPr>
          <w:rFonts w:hint="eastAsia" w:ascii="仿宋" w:hAnsi="仿宋" w:eastAsia="仿宋"/>
          <w:b/>
          <w:sz w:val="24"/>
        </w:rPr>
        <w:t>二</w:t>
      </w:r>
      <w:r>
        <w:rPr>
          <w:rFonts w:ascii="仿宋" w:hAnsi="仿宋" w:eastAsia="仿宋"/>
          <w:b/>
          <w:sz w:val="24"/>
        </w:rPr>
        <w:t>、</w:t>
      </w:r>
      <w:r>
        <w:rPr>
          <w:rFonts w:hint="eastAsia" w:ascii="仿宋" w:hAnsi="仿宋" w:eastAsia="仿宋"/>
          <w:b/>
          <w:sz w:val="24"/>
          <w:lang w:val="en-US" w:eastAsia="zh-CN"/>
        </w:rPr>
        <w:t>综合评选</w:t>
      </w:r>
      <w:r>
        <w:rPr>
          <w:rFonts w:ascii="仿宋" w:hAnsi="仿宋" w:eastAsia="仿宋"/>
          <w:b/>
          <w:sz w:val="24"/>
        </w:rPr>
        <w:t>推荐原则</w:t>
      </w:r>
      <w:bookmarkEnd w:id="0"/>
    </w:p>
    <w:p>
      <w:pPr>
        <w:spacing w:line="400" w:lineRule="exact"/>
        <w:ind w:firstLine="480" w:firstLineChars="200"/>
        <w:rPr>
          <w:rFonts w:hint="eastAsia" w:ascii="仿宋" w:hAnsi="仿宋" w:eastAsia="仿宋"/>
          <w:bCs/>
          <w:sz w:val="24"/>
          <w:lang w:val="en-US" w:eastAsia="zh-CN"/>
        </w:rPr>
      </w:pPr>
      <w:r>
        <w:rPr>
          <w:rFonts w:hint="eastAsia" w:ascii="仿宋" w:hAnsi="仿宋" w:eastAsia="仿宋"/>
          <w:bCs/>
          <w:sz w:val="24"/>
          <w:lang w:val="en-US" w:eastAsia="zh-CN"/>
        </w:rPr>
        <w:t>（一）综合评选委员会由医院院内人员组成，评选委员会根据综合得分由高到低排序，若得分相同时，按评选报价由低到高排序；若仍相同的，依次按照技术参数分、综合信誉分、服务承诺分由高到低排序。</w:t>
      </w:r>
    </w:p>
    <w:p>
      <w:pPr>
        <w:pStyle w:val="2"/>
        <w:rPr>
          <w:rFonts w:ascii="仿宋" w:hAnsi="仿宋" w:eastAsia="仿宋" w:cs="Times New Roman"/>
          <w:bCs/>
          <w:kern w:val="2"/>
          <w:sz w:val="24"/>
          <w:szCs w:val="24"/>
          <w:lang w:val="en-US" w:eastAsia="zh-CN" w:bidi="ar-SA"/>
        </w:rPr>
      </w:pPr>
      <w:r>
        <w:rPr>
          <w:rFonts w:hint="eastAsia" w:ascii="仿宋" w:hAnsi="仿宋" w:eastAsia="仿宋" w:cs="Times New Roman"/>
          <w:bCs/>
          <w:kern w:val="2"/>
          <w:sz w:val="24"/>
          <w:szCs w:val="24"/>
          <w:lang w:val="en-US" w:eastAsia="zh-CN" w:bidi="ar-SA"/>
        </w:rPr>
        <w:t>（二）采购人将以排名第一的参询报价、参数等内容为主要参照，送第三方招标代理公开招标。</w:t>
      </w:r>
    </w:p>
    <w:p>
      <w:pPr>
        <w:spacing w:line="400" w:lineRule="exact"/>
        <w:ind w:firstLine="480" w:firstLineChars="200"/>
        <w:rPr>
          <w:rFonts w:ascii="仿宋" w:hAnsi="仿宋" w:eastAsia="仿宋"/>
          <w:bCs/>
          <w:sz w:val="24"/>
        </w:rPr>
      </w:pPr>
      <w:r>
        <w:rPr>
          <w:rFonts w:hint="eastAsia" w:ascii="仿宋" w:hAnsi="仿宋" w:eastAsia="仿宋"/>
          <w:bCs/>
          <w:sz w:val="24"/>
          <w:lang w:val="en-US" w:eastAsia="zh-CN"/>
        </w:rPr>
        <w:t>（三</w:t>
      </w:r>
      <w:r>
        <w:rPr>
          <w:rFonts w:ascii="仿宋" w:hAnsi="仿宋" w:eastAsia="仿宋"/>
          <w:bCs/>
          <w:sz w:val="24"/>
        </w:rPr>
        <w:t>）</w:t>
      </w:r>
      <w:r>
        <w:rPr>
          <w:rFonts w:hint="eastAsia" w:ascii="仿宋" w:hAnsi="仿宋" w:eastAsia="仿宋"/>
          <w:bCs/>
          <w:sz w:val="24"/>
          <w:lang w:val="en-US" w:eastAsia="zh-CN"/>
        </w:rPr>
        <w:t>评选委员会</w:t>
      </w:r>
      <w:r>
        <w:rPr>
          <w:rFonts w:ascii="仿宋" w:hAnsi="仿宋" w:eastAsia="仿宋"/>
          <w:bCs/>
          <w:sz w:val="24"/>
        </w:rPr>
        <w:t>认为</w:t>
      </w:r>
      <w:r>
        <w:rPr>
          <w:rFonts w:hint="eastAsia" w:ascii="仿宋" w:hAnsi="仿宋" w:eastAsia="仿宋"/>
          <w:bCs/>
          <w:sz w:val="24"/>
          <w:lang w:val="en-US" w:eastAsia="zh-CN"/>
        </w:rPr>
        <w:t>参询</w:t>
      </w:r>
      <w:r>
        <w:rPr>
          <w:rFonts w:ascii="仿宋" w:hAnsi="仿宋" w:eastAsia="仿宋"/>
          <w:bCs/>
          <w:sz w:val="24"/>
        </w:rPr>
        <w:t>供应商的报价明显低于其他通过符合性审查供应商的报价，有可能影响产品质量</w:t>
      </w:r>
      <w:r>
        <w:rPr>
          <w:rFonts w:hint="eastAsia" w:ascii="仿宋" w:hAnsi="仿宋" w:eastAsia="仿宋"/>
          <w:bCs/>
          <w:sz w:val="24"/>
        </w:rPr>
        <w:t>及服务质量</w:t>
      </w:r>
      <w:r>
        <w:rPr>
          <w:rFonts w:ascii="仿宋" w:hAnsi="仿宋" w:eastAsia="仿宋"/>
          <w:bCs/>
          <w:sz w:val="24"/>
        </w:rPr>
        <w:t>或者不能诚信履约的，应当要求其在</w:t>
      </w:r>
      <w:r>
        <w:rPr>
          <w:rFonts w:hint="eastAsia" w:ascii="仿宋" w:hAnsi="仿宋" w:eastAsia="仿宋"/>
          <w:bCs/>
          <w:sz w:val="24"/>
          <w:lang w:val="en-US" w:eastAsia="zh-CN"/>
        </w:rPr>
        <w:t>询价</w:t>
      </w:r>
      <w:r>
        <w:rPr>
          <w:rFonts w:ascii="仿宋" w:hAnsi="仿宋" w:eastAsia="仿宋"/>
          <w:bCs/>
          <w:sz w:val="24"/>
        </w:rPr>
        <w:t>合理的时间内提供书面说明，必要时提交相关证明材料；供应商不能证明其报价合理性的，</w:t>
      </w:r>
      <w:r>
        <w:rPr>
          <w:rFonts w:hint="eastAsia" w:ascii="仿宋" w:hAnsi="仿宋" w:eastAsia="仿宋"/>
          <w:bCs/>
          <w:sz w:val="24"/>
          <w:lang w:val="en-US" w:eastAsia="zh-CN"/>
        </w:rPr>
        <w:t>评选委员会</w:t>
      </w:r>
      <w:r>
        <w:rPr>
          <w:rFonts w:ascii="仿宋" w:hAnsi="仿宋" w:eastAsia="仿宋"/>
          <w:bCs/>
          <w:sz w:val="24"/>
        </w:rPr>
        <w:t>应当将其作为无效</w:t>
      </w:r>
      <w:r>
        <w:rPr>
          <w:rFonts w:hint="eastAsia" w:ascii="仿宋" w:hAnsi="仿宋" w:eastAsia="仿宋"/>
          <w:bCs/>
          <w:sz w:val="24"/>
          <w:lang w:val="en-US" w:eastAsia="zh-CN"/>
        </w:rPr>
        <w:t>询价</w:t>
      </w:r>
      <w:r>
        <w:rPr>
          <w:rFonts w:ascii="仿宋" w:hAnsi="仿宋" w:eastAsia="仿宋"/>
          <w:bCs/>
          <w:sz w:val="24"/>
        </w:rPr>
        <w:t>处理。</w:t>
      </w:r>
    </w:p>
    <w:p>
      <w:pPr>
        <w:pStyle w:val="4"/>
      </w:pPr>
    </w:p>
    <w:sectPr>
      <w:pgSz w:w="11906" w:h="16838"/>
      <w:pgMar w:top="850" w:right="850" w:bottom="850" w:left="85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46D4E"/>
    <w:multiLevelType w:val="multilevel"/>
    <w:tmpl w:val="05246D4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NmMTQ2M2JmOGJiZTA0MzY5NjQwNTJlZmFiNGQ0YjcifQ=="/>
  </w:docVars>
  <w:rsids>
    <w:rsidRoot w:val="00B75FC4"/>
    <w:rsid w:val="00092D59"/>
    <w:rsid w:val="001144D4"/>
    <w:rsid w:val="002709DF"/>
    <w:rsid w:val="002860CA"/>
    <w:rsid w:val="0033735D"/>
    <w:rsid w:val="00370CA9"/>
    <w:rsid w:val="004761BC"/>
    <w:rsid w:val="00476219"/>
    <w:rsid w:val="00492AD9"/>
    <w:rsid w:val="005F3B6B"/>
    <w:rsid w:val="007B45B9"/>
    <w:rsid w:val="0095408B"/>
    <w:rsid w:val="009F0E6C"/>
    <w:rsid w:val="00AB3C4C"/>
    <w:rsid w:val="00B40232"/>
    <w:rsid w:val="00B75FC4"/>
    <w:rsid w:val="00C82D3A"/>
    <w:rsid w:val="00C929CB"/>
    <w:rsid w:val="00DF4A2E"/>
    <w:rsid w:val="00F05F01"/>
    <w:rsid w:val="01CF5945"/>
    <w:rsid w:val="1DFF14C4"/>
    <w:rsid w:val="2D0E579C"/>
    <w:rsid w:val="3CE33617"/>
    <w:rsid w:val="500B0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adjustRightInd w:val="0"/>
      <w:ind w:left="420" w:right="33"/>
      <w:jc w:val="left"/>
      <w:textAlignment w:val="baseline"/>
    </w:pPr>
    <w:rPr>
      <w:kern w:val="0"/>
      <w:sz w:val="24"/>
      <w:szCs w:val="20"/>
    </w:rPr>
  </w:style>
  <w:style w:type="paragraph" w:styleId="3">
    <w:name w:val="annotation text"/>
    <w:basedOn w:val="1"/>
    <w:semiHidden/>
    <w:unhideWhenUsed/>
    <w:qFormat/>
    <w:uiPriority w:val="99"/>
    <w:pPr>
      <w:jc w:val="left"/>
    </w:pPr>
  </w:style>
  <w:style w:type="paragraph" w:styleId="4">
    <w:name w:val="Body Text"/>
    <w:basedOn w:val="1"/>
    <w:link w:val="14"/>
    <w:semiHidden/>
    <w:unhideWhenUsed/>
    <w:qFormat/>
    <w:uiPriority w:val="99"/>
    <w:pPr>
      <w:spacing w:after="120"/>
    </w:pPr>
  </w:style>
  <w:style w:type="paragraph" w:styleId="5">
    <w:name w:val="Plain Text"/>
    <w:basedOn w:val="1"/>
    <w:next w:val="1"/>
    <w:link w:val="11"/>
    <w:qFormat/>
    <w:uiPriority w:val="0"/>
    <w:rPr>
      <w:rFonts w:ascii="宋体" w:hAnsi="宋体" w:cs="Courier New"/>
      <w:kern w:val="1"/>
      <w:szCs w:val="21"/>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kern w:val="0"/>
      <w:sz w:val="24"/>
      <w:szCs w:val="20"/>
    </w:rPr>
  </w:style>
  <w:style w:type="character" w:customStyle="1" w:styleId="11">
    <w:name w:val="纯文本 字符"/>
    <w:basedOn w:val="10"/>
    <w:link w:val="5"/>
    <w:qFormat/>
    <w:uiPriority w:val="0"/>
    <w:rPr>
      <w:rFonts w:ascii="宋体" w:hAnsi="宋体" w:eastAsia="宋体" w:cs="Courier New"/>
      <w:kern w:val="1"/>
      <w:szCs w:val="21"/>
    </w:rPr>
  </w:style>
  <w:style w:type="character" w:customStyle="1" w:styleId="12">
    <w:name w:val="9fontline1"/>
    <w:qFormat/>
    <w:uiPriority w:val="0"/>
    <w:rPr>
      <w:rFonts w:hint="default" w:ascii="_x000B__x000C_" w:hAnsi="_x000B__x000C_"/>
      <w:color w:val="000000"/>
      <w:sz w:val="20"/>
    </w:rPr>
  </w:style>
  <w:style w:type="paragraph" w:styleId="13">
    <w:name w:val="List Paragraph"/>
    <w:basedOn w:val="1"/>
    <w:qFormat/>
    <w:uiPriority w:val="0"/>
    <w:pPr>
      <w:ind w:firstLine="420" w:firstLineChars="200"/>
    </w:pPr>
    <w:rPr>
      <w:rFonts w:ascii="Calibri" w:hAnsi="Calibri"/>
      <w:szCs w:val="22"/>
    </w:rPr>
  </w:style>
  <w:style w:type="character" w:customStyle="1" w:styleId="14">
    <w:name w:val="正文文本 字符"/>
    <w:basedOn w:val="10"/>
    <w:link w:val="4"/>
    <w:semiHidden/>
    <w:qFormat/>
    <w:uiPriority w:val="99"/>
    <w:rPr>
      <w:rFonts w:ascii="Times New Roman" w:hAnsi="Times New Roman" w:eastAsia="宋体" w:cs="Times New Roman"/>
      <w:szCs w:val="24"/>
    </w:rPr>
  </w:style>
  <w:style w:type="character" w:customStyle="1" w:styleId="15">
    <w:name w:val="页眉 字符"/>
    <w:basedOn w:val="10"/>
    <w:link w:val="7"/>
    <w:qFormat/>
    <w:uiPriority w:val="99"/>
    <w:rPr>
      <w:rFonts w:ascii="Times New Roman" w:hAnsi="Times New Roman" w:eastAsia="宋体" w:cs="Times New Roman"/>
      <w:sz w:val="18"/>
      <w:szCs w:val="18"/>
    </w:rPr>
  </w:style>
  <w:style w:type="character" w:customStyle="1" w:styleId="16">
    <w:name w:val="页脚 字符"/>
    <w:basedOn w:val="10"/>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4196</Words>
  <Characters>4352</Characters>
  <Lines>32</Lines>
  <Paragraphs>9</Paragraphs>
  <TotalTime>12</TotalTime>
  <ScaleCrop>false</ScaleCrop>
  <LinksUpToDate>false</LinksUpToDate>
  <CharactersWithSpaces>4360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2023-04-10T07:28:00Z</dcterms:created>
  <dc:creator>Administrator</dc:creator>
  <cp:lastModifiedBy>elioy</cp:lastModifiedBy>
  <dcterms:modified xsi:type="dcterms:W3CDTF">2023-04-26T07:39:11Z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085E68968DB8434FB2CBF4EBD8416DAA_12</vt:lpwstr>
  </property>
</Properties>
</file>