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bCs/>
          <w:sz w:val="28"/>
          <w:szCs w:val="28"/>
        </w:rPr>
      </w:pPr>
      <w:r>
        <w:rPr>
          <w:rFonts w:hint="eastAsia"/>
          <w:b/>
          <w:bCs/>
          <w:sz w:val="28"/>
          <w:szCs w:val="28"/>
        </w:rPr>
        <w:t>附件</w:t>
      </w:r>
    </w:p>
    <w:p>
      <w:pPr>
        <w:spacing w:line="400" w:lineRule="exact"/>
        <w:rPr>
          <w:rStyle w:val="8"/>
          <w:rFonts w:hint="eastAsia" w:ascii="宋体" w:hAnsi="宋体" w:cs="宋体"/>
          <w:b/>
          <w:color w:val="auto"/>
          <w:kern w:val="0"/>
          <w:sz w:val="28"/>
          <w:szCs w:val="28"/>
        </w:rPr>
      </w:pPr>
      <w:r>
        <w:rPr>
          <w:rFonts w:hint="eastAsia"/>
          <w:b/>
          <w:bCs/>
          <w:sz w:val="28"/>
          <w:szCs w:val="28"/>
        </w:rPr>
        <w:t>电子图书馆</w:t>
      </w:r>
      <w:r>
        <w:rPr>
          <w:rFonts w:hint="eastAsia" w:ascii="宋体" w:hAnsi="宋体" w:cs="宋体"/>
          <w:b/>
          <w:kern w:val="0"/>
          <w:sz w:val="28"/>
          <w:szCs w:val="28"/>
        </w:rPr>
        <w:t>项目清单</w:t>
      </w:r>
    </w:p>
    <w:tbl>
      <w:tblPr>
        <w:tblStyle w:val="6"/>
        <w:tblW w:w="47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8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843" w:type="pct"/>
            <w:shd w:val="clear" w:color="auto" w:fill="DCE6F2"/>
            <w:vAlign w:val="center"/>
          </w:tcPr>
          <w:p>
            <w:pPr>
              <w:jc w:val="center"/>
              <w:rPr>
                <w:rFonts w:ascii="宋体" w:hAnsi="宋体" w:cs="宋体"/>
                <w:b/>
                <w:bCs/>
                <w:sz w:val="24"/>
              </w:rPr>
            </w:pPr>
            <w:r>
              <w:rPr>
                <w:rFonts w:hint="eastAsia" w:ascii="宋体" w:hAnsi="宋体" w:cs="宋体"/>
                <w:b/>
                <w:bCs/>
                <w:sz w:val="24"/>
              </w:rPr>
              <w:t>项目名称</w:t>
            </w:r>
          </w:p>
        </w:tc>
        <w:tc>
          <w:tcPr>
            <w:tcW w:w="4156" w:type="pct"/>
            <w:shd w:val="clear" w:color="auto" w:fill="DCE6F2"/>
            <w:vAlign w:val="center"/>
          </w:tcPr>
          <w:p>
            <w:pPr>
              <w:jc w:val="center"/>
              <w:rPr>
                <w:rFonts w:ascii="宋体" w:hAnsi="宋体" w:cs="宋体"/>
                <w:b/>
                <w:bCs/>
                <w:sz w:val="24"/>
              </w:rPr>
            </w:pPr>
            <w:r>
              <w:rPr>
                <w:rFonts w:hint="eastAsia" w:ascii="宋体" w:hAnsi="宋体" w:cs="宋体"/>
                <w:b/>
                <w:bCs/>
                <w:sz w:val="24"/>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trPr>
        <w:tc>
          <w:tcPr>
            <w:tcW w:w="843" w:type="pct"/>
            <w:vAlign w:val="center"/>
          </w:tcPr>
          <w:p>
            <w:pPr>
              <w:jc w:val="center"/>
              <w:rPr>
                <w:rFonts w:ascii="宋体" w:hAnsi="宋体" w:eastAsia="楷体" w:cs="宋体"/>
                <w:b/>
                <w:szCs w:val="21"/>
              </w:rPr>
            </w:pPr>
            <w:r>
              <w:rPr>
                <w:rFonts w:hint="eastAsia"/>
                <w:b/>
                <w:bCs/>
                <w:sz w:val="28"/>
                <w:szCs w:val="28"/>
              </w:rPr>
              <w:t>电子图书馆</w:t>
            </w:r>
          </w:p>
        </w:tc>
        <w:tc>
          <w:tcPr>
            <w:tcW w:w="4156" w:type="pct"/>
          </w:tcPr>
          <w:p>
            <w:pPr>
              <w:pStyle w:val="5"/>
              <w:spacing w:line="276" w:lineRule="auto"/>
            </w:pPr>
            <w:r>
              <w:rPr>
                <w:rFonts w:hint="eastAsia"/>
              </w:rPr>
              <w:t>一、总体需求：</w:t>
            </w:r>
          </w:p>
          <w:p>
            <w:pPr>
              <w:pStyle w:val="5"/>
              <w:numPr>
                <w:ilvl w:val="0"/>
                <w:numId w:val="1"/>
              </w:numPr>
              <w:adjustRightInd w:val="0"/>
              <w:snapToGrid w:val="0"/>
              <w:spacing w:line="360" w:lineRule="auto"/>
            </w:pPr>
            <w:r>
              <w:rPr>
                <w:rFonts w:hint="eastAsia"/>
              </w:rPr>
              <w:t>中文文献数据库须满足临床科研教学要求，包含中文期刊、外文期刊、学位论文、会议论文、临床指南、医学视频、提供专利、标准、科技成果、法律法规。</w:t>
            </w:r>
          </w:p>
          <w:p>
            <w:pPr>
              <w:pStyle w:val="5"/>
              <w:numPr>
                <w:ilvl w:val="0"/>
                <w:numId w:val="1"/>
              </w:numPr>
              <w:adjustRightInd w:val="0"/>
              <w:snapToGrid w:val="0"/>
              <w:spacing w:line="360" w:lineRule="auto"/>
            </w:pPr>
            <w:r>
              <w:rPr>
                <w:rFonts w:hint="eastAsia"/>
              </w:rPr>
              <w:t>采取国际通用PDF格式阅读软件，须具有在线阅读、下载、打印等功能。</w:t>
            </w:r>
          </w:p>
          <w:p>
            <w:pPr>
              <w:pStyle w:val="5"/>
              <w:numPr>
                <w:ilvl w:val="0"/>
                <w:numId w:val="1"/>
              </w:numPr>
              <w:spacing w:line="276" w:lineRule="auto"/>
            </w:pPr>
            <w:r>
              <w:rPr>
                <w:rFonts w:hint="eastAsia"/>
                <w:lang w:val="en-US" w:eastAsia="zh-CN"/>
              </w:rPr>
              <w:t>★</w:t>
            </w:r>
            <w:r>
              <w:rPr>
                <w:rFonts w:hint="eastAsia"/>
              </w:rPr>
              <w:t>投标产品必须具有著作权证书、厂商必须具有互联网出版许可证、出版物经营许可证、电信与信息服务业务经营许可证等具备履约的证明。</w:t>
            </w:r>
          </w:p>
          <w:p>
            <w:pPr>
              <w:pStyle w:val="5"/>
              <w:spacing w:line="276" w:lineRule="auto"/>
            </w:pPr>
            <w:r>
              <w:rPr>
                <w:rFonts w:hint="eastAsia"/>
              </w:rPr>
              <w:t>二、功能需求：</w:t>
            </w:r>
          </w:p>
          <w:p>
            <w:pPr>
              <w:numPr>
                <w:ilvl w:val="0"/>
                <w:numId w:val="0"/>
              </w:numPr>
              <w:rPr>
                <w:rFonts w:hint="eastAsia"/>
                <w:lang w:val="en-US" w:eastAsia="zh-CN"/>
              </w:rPr>
            </w:pPr>
            <w:r>
              <w:rPr>
                <w:rFonts w:hint="eastAsia"/>
                <w:lang w:val="en-US" w:eastAsia="zh-CN"/>
              </w:rPr>
              <w:t>★</w:t>
            </w:r>
            <w:r>
              <w:rPr>
                <w:rFonts w:hint="eastAsia"/>
                <w:b/>
                <w:bCs/>
                <w:lang w:val="en-US" w:eastAsia="zh-CN"/>
              </w:rPr>
              <w:t>1、</w:t>
            </w:r>
            <w:r>
              <w:rPr>
                <w:rFonts w:hint="eastAsia"/>
                <w:lang w:val="en-US" w:eastAsia="zh-CN"/>
              </w:rPr>
              <w:t>电子图书全文至少100万册，医学电子图书全文至少8万册。中文图书元数据种类400万种以上，其中医学图书元数据不低于30万种，中医类图书元数据不低于8万种；更新及时，图书年更新量不少于5万种；外文图书不少于180万种元数据，可检索到书名，作者，主题，出版社等信息。图书须保持纸质图书原文原貌；提供多种检索方式，如：书名、作者、主题词等，同时实现图书的知识检索；图书须具有在线阅读、下载、打印等功能；图书须提供专用阅读器，便于读者进行个性化阅读。（提供系统截图并加盖公章）</w:t>
            </w:r>
          </w:p>
          <w:p>
            <w:pPr>
              <w:pStyle w:val="5"/>
              <w:keepNext w:val="0"/>
              <w:keepLines w:val="0"/>
              <w:pageBreakBefore w:val="0"/>
              <w:numPr>
                <w:ilvl w:val="0"/>
                <w:numId w:val="0"/>
              </w:numPr>
              <w:kinsoku/>
              <w:wordWrap/>
              <w:overflowPunct/>
              <w:topLinePunct w:val="0"/>
              <w:autoSpaceDE/>
              <w:autoSpaceDN/>
              <w:bidi w:val="0"/>
              <w:snapToGrid/>
              <w:spacing w:line="400" w:lineRule="exact"/>
              <w:jc w:val="both"/>
              <w:textAlignment w:val="auto"/>
              <w:rPr>
                <w:rFonts w:hint="eastAsia"/>
                <w:lang w:val="en-US" w:eastAsia="zh-CN"/>
              </w:rPr>
            </w:pPr>
            <w:r>
              <w:rPr>
                <w:rFonts w:hint="eastAsia"/>
                <w:b/>
                <w:bCs/>
                <w:lang w:val="en-US" w:eastAsia="zh-CN"/>
              </w:rPr>
              <w:t>2、</w:t>
            </w:r>
            <w:r>
              <w:rPr>
                <w:rFonts w:hint="eastAsia"/>
                <w:lang w:val="en-US" w:eastAsia="zh-CN"/>
              </w:rPr>
              <w:t>平台图书按照中图法进行二级学科分类，系统平台具有图书列表、高级检索、图书推荐、图书搜藏排行榜、访问人次、资源总量等功能。</w:t>
            </w:r>
          </w:p>
          <w:p>
            <w:pPr>
              <w:numPr>
                <w:ilvl w:val="0"/>
                <w:numId w:val="0"/>
              </w:numPr>
              <w:rPr>
                <w:rFonts w:hint="eastAsia"/>
                <w:lang w:val="en-US" w:eastAsia="zh-CN"/>
              </w:rPr>
            </w:pPr>
            <w:r>
              <w:rPr>
                <w:rFonts w:hint="eastAsia"/>
                <w:lang w:val="en-US" w:eastAsia="zh-CN"/>
              </w:rPr>
              <w:t>★</w:t>
            </w:r>
            <w:r>
              <w:rPr>
                <w:rFonts w:hint="eastAsia"/>
                <w:b/>
                <w:bCs/>
                <w:lang w:val="en-US" w:eastAsia="zh-CN"/>
              </w:rPr>
              <w:t>3、</w:t>
            </w:r>
            <w:r>
              <w:rPr>
                <w:rFonts w:hint="eastAsia"/>
                <w:lang w:val="en-US" w:eastAsia="zh-CN"/>
              </w:rPr>
              <w:t>具有馆际互借功能。（提供系统截图并加盖公章）</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lang w:val="en-US" w:eastAsia="zh-CN"/>
              </w:rPr>
              <w:t>★</w:t>
            </w:r>
            <w:r>
              <w:rPr>
                <w:rFonts w:hint="eastAsia"/>
                <w:b/>
                <w:bCs/>
                <w:lang w:val="en-US" w:eastAsia="zh-CN"/>
              </w:rPr>
              <w:t>4、</w:t>
            </w:r>
            <w:r>
              <w:rPr>
                <w:rFonts w:hint="eastAsia"/>
                <w:lang w:val="en-US" w:eastAsia="zh-CN"/>
              </w:rPr>
              <w:t>中文期刊（提供获取方式，包含在线阅读、下载、打印等功能）：</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default"/>
                <w:lang w:val="en-US" w:eastAsia="zh-CN"/>
              </w:rPr>
            </w:pPr>
            <w:r>
              <w:rPr>
                <w:rFonts w:hint="eastAsia"/>
                <w:lang w:val="en-US" w:eastAsia="zh-CN"/>
              </w:rPr>
              <w:t>包含医学类期刊至少3500种，涵盖国内所有中文核心及科技核心。更新及时；时间跨度长；可提供期刊封面页及目录页；医学期刊须提供标题、作者、关键词、精确匹配、模糊匹配等检索方式。检索结果提供相关度、出版时间、学术价值等不少于3种排序方式。</w:t>
            </w:r>
          </w:p>
          <w:p>
            <w:pPr>
              <w:numPr>
                <w:ilvl w:val="0"/>
                <w:numId w:val="0"/>
              </w:numPr>
              <w:rPr>
                <w:rFonts w:hint="eastAsia"/>
                <w:lang w:val="en-US" w:eastAsia="zh-CN"/>
              </w:rPr>
            </w:pPr>
            <w:r>
              <w:rPr>
                <w:rFonts w:hint="eastAsia"/>
                <w:lang w:val="en-US" w:eastAsia="zh-CN"/>
              </w:rPr>
              <w:t>★</w:t>
            </w:r>
            <w:r>
              <w:rPr>
                <w:rFonts w:hint="eastAsia"/>
                <w:b/>
                <w:bCs/>
                <w:lang w:val="en-US" w:eastAsia="zh-CN"/>
              </w:rPr>
              <w:t>5、</w:t>
            </w:r>
            <w:r>
              <w:rPr>
                <w:rFonts w:hint="eastAsia"/>
                <w:lang w:val="en-US" w:eastAsia="zh-CN"/>
              </w:rPr>
              <w:t>图书系统可实现与本院已购图书管理软件的无缝挂接。（提供系统截图并加盖公章）</w:t>
            </w:r>
          </w:p>
          <w:p>
            <w:pPr>
              <w:numPr>
                <w:ilvl w:val="0"/>
                <w:numId w:val="0"/>
              </w:numPr>
              <w:rPr>
                <w:rFonts w:hint="eastAsia"/>
                <w:lang w:val="en-US" w:eastAsia="zh-CN"/>
              </w:rPr>
            </w:pPr>
            <w:r>
              <w:rPr>
                <w:rFonts w:hint="eastAsia"/>
                <w:b/>
                <w:bCs/>
                <w:lang w:val="en-US" w:eastAsia="zh-CN"/>
              </w:rPr>
              <w:t>6、</w:t>
            </w:r>
            <w:r>
              <w:rPr>
                <w:rFonts w:hint="eastAsia"/>
                <w:lang w:val="en-US" w:eastAsia="zh-CN"/>
              </w:rPr>
              <w:t>资源云存储，使用不受时间、空间限制；无需采购单位提供硬件服务器。账号数无限制，须保障采购单位每个人都拥有自己的个人账号。</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b/>
                <w:bCs/>
                <w:lang w:val="en-US" w:eastAsia="zh-CN"/>
              </w:rPr>
              <w:t>7、</w:t>
            </w:r>
            <w:r>
              <w:rPr>
                <w:rFonts w:hint="eastAsia"/>
                <w:lang w:val="en-US" w:eastAsia="zh-CN"/>
              </w:rPr>
              <w:t>深度检索（全文检索、目录检索等）。</w:t>
            </w:r>
            <w:bookmarkStart w:id="1" w:name="_GoBack"/>
            <w:bookmarkEnd w:id="1"/>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ascii="宋体" w:hAnsi="宋体" w:cs="宋体"/>
                <w:b/>
                <w:bCs/>
                <w:szCs w:val="21"/>
                <w:lang w:val="en-US" w:eastAsia="zh-CN"/>
              </w:rPr>
              <w:t>8、</w:t>
            </w:r>
            <w:r>
              <w:rPr>
                <w:rFonts w:hint="eastAsia" w:ascii="宋体" w:hAnsi="宋体" w:cs="宋体"/>
                <w:szCs w:val="21"/>
                <w:lang w:eastAsia="zh-CN"/>
              </w:rPr>
              <w:t>提供二次检索、高级检索、专业检索等功能，实现一站式跨库检索功能。</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lang w:val="en-US" w:eastAsia="zh-CN"/>
              </w:rPr>
              <w:t>★</w:t>
            </w:r>
            <w:r>
              <w:rPr>
                <w:rFonts w:hint="eastAsia"/>
                <w:b/>
                <w:bCs/>
                <w:lang w:val="en-US" w:eastAsia="zh-CN"/>
              </w:rPr>
              <w:t>9、</w:t>
            </w:r>
            <w:r>
              <w:rPr>
                <w:rFonts w:hint="eastAsia"/>
                <w:lang w:val="en-US" w:eastAsia="zh-CN"/>
              </w:rPr>
              <w:t>外文期刊（提供获取方式，包含在线阅读、下载、打印等功能）：</w:t>
            </w:r>
          </w:p>
          <w:p>
            <w:pPr>
              <w:numPr>
                <w:ilvl w:val="0"/>
                <w:numId w:val="0"/>
              </w:numPr>
              <w:rPr>
                <w:rFonts w:hint="eastAsia"/>
                <w:lang w:val="en-US" w:eastAsia="zh-CN"/>
              </w:rPr>
            </w:pPr>
            <w:r>
              <w:rPr>
                <w:rFonts w:hint="eastAsia"/>
                <w:lang w:val="en-US" w:eastAsia="zh-CN"/>
              </w:rPr>
              <w:t>外文期刊元数据不少于28000种，涵盖国内常见的外文数据库包括 Pubmed、 SpringerLink、 Ebsco等多个国内常见的外文数据库；更新及时；时间跨度长。包含Web of Science期刊分区和中科院JCR分区，能够准确查询SCI期刊国际及国内分区情况，能查询sci最新的影响因子。（提供系统截图并加盖公章）</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b/>
                <w:bCs/>
                <w:lang w:val="en-US" w:eastAsia="zh-CN"/>
              </w:rPr>
              <w:t>10、</w:t>
            </w:r>
            <w:r>
              <w:rPr>
                <w:rFonts w:hint="eastAsia"/>
                <w:lang w:val="en-US" w:eastAsia="zh-CN"/>
              </w:rPr>
              <w:t>视频资源不少于10万集，可提供每日更新。</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b/>
                <w:bCs/>
                <w:lang w:val="en-US" w:eastAsia="zh-CN"/>
              </w:rPr>
              <w:t>11、</w:t>
            </w:r>
            <w:r>
              <w:rPr>
                <w:rFonts w:hint="eastAsia"/>
                <w:lang w:val="en-US" w:eastAsia="zh-CN"/>
              </w:rPr>
              <w:t>报纸不少于7500万篇元数据，能实现当日更新。</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default"/>
                <w:lang w:val="en-US" w:eastAsia="zh-CN"/>
              </w:rPr>
            </w:pPr>
            <w:r>
              <w:rPr>
                <w:rFonts w:hint="eastAsia"/>
                <w:b/>
                <w:bCs/>
                <w:lang w:val="en-US" w:eastAsia="zh-CN"/>
              </w:rPr>
              <w:t>12、</w:t>
            </w:r>
            <w:r>
              <w:rPr>
                <w:rFonts w:hint="eastAsia"/>
                <w:lang w:val="en-US" w:eastAsia="zh-CN"/>
              </w:rPr>
              <w:t>学位论文（提供获取方式）：</w:t>
            </w:r>
          </w:p>
          <w:p>
            <w:pPr>
              <w:pStyle w:val="9"/>
              <w:keepNext w:val="0"/>
              <w:keepLines w:val="0"/>
              <w:pageBreakBefore w:val="0"/>
              <w:widowControl w:val="0"/>
              <w:numPr>
                <w:ilvl w:val="0"/>
                <w:numId w:val="0"/>
              </w:numPr>
              <w:kinsoku/>
              <w:wordWrap/>
              <w:topLinePunct w:val="0"/>
              <w:autoSpaceDE/>
              <w:autoSpaceDN/>
              <w:bidi w:val="0"/>
              <w:adjustRightInd/>
              <w:snapToGrid/>
              <w:spacing w:line="400" w:lineRule="exact"/>
              <w:textAlignment w:val="auto"/>
              <w:rPr>
                <w:rFonts w:hint="eastAsia"/>
                <w:lang w:val="en-US" w:eastAsia="zh-CN"/>
              </w:rPr>
            </w:pPr>
            <w:r>
              <w:rPr>
                <w:rFonts w:hint="eastAsia"/>
                <w:lang w:val="en-US" w:eastAsia="zh-CN"/>
              </w:rPr>
              <w:t>中文学位论文不少于280万篇元数据（211高校论文收录量占总量占总量的90%以上，涵盖临床医学、预防医学、药学、计算机及应用等多个学科专业）；外文学位论文不少于60万篇元数据（包含Proquist)；中文会议论文不少于280万篇元数据；外文会议论文不少于450万篇元数据。</w:t>
            </w:r>
          </w:p>
          <w:p>
            <w:pPr>
              <w:rPr>
                <w:rFonts w:hint="eastAsia"/>
                <w:lang w:val="en-US" w:eastAsia="zh-CN"/>
              </w:rPr>
            </w:pPr>
            <w:r>
              <w:rPr>
                <w:rFonts w:hint="eastAsia"/>
                <w:lang w:val="en-US" w:eastAsia="zh-CN"/>
              </w:rPr>
              <w:t>★</w:t>
            </w:r>
            <w:r>
              <w:rPr>
                <w:rFonts w:hint="eastAsia"/>
                <w:b/>
                <w:bCs/>
                <w:lang w:val="en-US" w:eastAsia="zh-CN"/>
              </w:rPr>
              <w:t>13、</w:t>
            </w:r>
            <w:r>
              <w:rPr>
                <w:rFonts w:hint="eastAsia"/>
                <w:lang w:val="en-US" w:eastAsia="zh-CN"/>
              </w:rPr>
              <w:t>APP版必须含有图书、期刊、报纸等模块，且相应模块的资源不仅限于医学类，应包括理工农医文史哲经八大类的文献资源，能直接在线阅读或发到邮箱下载。APP版必须提供网络课程服务、即时通讯、能记录个人学习成长及考试系统等功能。可实现对用户的访问和使用情况进行详细的记录，并进行统计分析。可按时间、用户等方式进行统计分析。（提供系统截图并加盖公章）</w:t>
            </w:r>
          </w:p>
          <w:p>
            <w:r>
              <w:rPr>
                <w:rFonts w:hint="eastAsia" w:eastAsia="宋体"/>
                <w:b/>
                <w:bCs/>
                <w:lang w:val="en-US" w:eastAsia="zh-CN"/>
              </w:rPr>
              <w:t>14、</w:t>
            </w:r>
            <w:r>
              <w:rPr>
                <w:rFonts w:hint="eastAsia" w:eastAsia="宋体"/>
                <w:lang w:val="en-US" w:eastAsia="zh-CN"/>
              </w:rPr>
              <w:t>能够根据需要定制模块；</w:t>
            </w:r>
            <w:r>
              <w:rPr>
                <w:rFonts w:hint="eastAsia" w:eastAsia="宋体"/>
                <w:lang w:val="en-US" w:eastAsia="zh-CN"/>
              </w:rPr>
              <w:br w:type="textWrapping"/>
            </w:r>
            <w:r>
              <w:rPr>
                <w:rFonts w:hint="eastAsia" w:eastAsia="宋体"/>
                <w:b/>
                <w:bCs/>
                <w:lang w:val="en-US" w:eastAsia="zh-CN"/>
              </w:rPr>
              <w:t>15、</w:t>
            </w:r>
            <w:r>
              <w:rPr>
                <w:rFonts w:hint="eastAsia" w:eastAsia="宋体"/>
                <w:lang w:val="en-US" w:eastAsia="zh-CN"/>
              </w:rPr>
              <w:t>可以将一些网络资源链接放到APP中去，实现个性化定制功能；</w:t>
            </w:r>
            <w:r>
              <w:rPr>
                <w:rFonts w:hint="eastAsia" w:eastAsia="宋体"/>
                <w:lang w:val="en-US" w:eastAsia="zh-CN"/>
              </w:rPr>
              <w:br w:type="textWrapping"/>
            </w:r>
            <w:r>
              <w:rPr>
                <w:rFonts w:hint="eastAsia" w:eastAsia="宋体"/>
                <w:b/>
                <w:bCs/>
                <w:lang w:val="en-US" w:eastAsia="zh-CN"/>
              </w:rPr>
              <w:t>16、</w:t>
            </w:r>
            <w:r>
              <w:rPr>
                <w:rFonts w:hint="eastAsia" w:eastAsia="宋体"/>
                <w:lang w:val="en-US" w:eastAsia="zh-CN"/>
              </w:rPr>
              <w:t>在安卓和苹果市场均可以搜索并下载；</w:t>
            </w:r>
            <w:r>
              <w:rPr>
                <w:rFonts w:hint="eastAsia" w:eastAsia="宋体"/>
                <w:lang w:val="en-US" w:eastAsia="zh-CN"/>
              </w:rPr>
              <w:br w:type="textWrapping"/>
            </w:r>
            <w:r>
              <w:rPr>
                <w:rFonts w:hint="eastAsia" w:eastAsia="宋体"/>
                <w:b/>
                <w:bCs/>
                <w:lang w:val="en-US" w:eastAsia="zh-CN"/>
              </w:rPr>
              <w:t>17、</w:t>
            </w:r>
            <w:r>
              <w:rPr>
                <w:rFonts w:hint="eastAsia" w:eastAsia="宋体"/>
                <w:lang w:val="en-US" w:eastAsia="zh-CN"/>
              </w:rPr>
              <w:t>可以在APP中在线阅读期刊、图书、报纸等内容；</w:t>
            </w:r>
            <w:r>
              <w:rPr>
                <w:rFonts w:hint="eastAsia" w:eastAsia="宋体"/>
                <w:lang w:val="en-US" w:eastAsia="zh-CN"/>
              </w:rPr>
              <w:br w:type="textWrapping"/>
            </w:r>
            <w:r>
              <w:rPr>
                <w:rFonts w:hint="default" w:eastAsia="宋体"/>
                <w:lang w:val="en-US" w:eastAsia="zh-CN"/>
              </w:rPr>
              <w:t>1</w:t>
            </w:r>
            <w:r>
              <w:rPr>
                <w:rFonts w:hint="eastAsia" w:eastAsia="宋体"/>
                <w:b/>
                <w:bCs/>
                <w:lang w:val="en-US" w:eastAsia="zh-CN"/>
              </w:rPr>
              <w:t>8、</w:t>
            </w:r>
            <w:r>
              <w:rPr>
                <w:rFonts w:hint="eastAsia" w:eastAsia="宋体"/>
                <w:lang w:val="en-US" w:eastAsia="zh-CN"/>
              </w:rPr>
              <w:t>可以实现简单的办公模块，比如签到、笔记、云盘、站内信函；</w:t>
            </w:r>
          </w:p>
        </w:tc>
      </w:tr>
    </w:tbl>
    <w:p>
      <w:pPr>
        <w:pStyle w:val="9"/>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注：★号参数为不允许偏离的实质性要求。</w:t>
      </w:r>
    </w:p>
    <w:p>
      <w:pPr>
        <w:pStyle w:val="9"/>
        <w:spacing w:line="400" w:lineRule="exact"/>
        <w:ind w:firstLine="0" w:firstLineChars="0"/>
        <w:rPr>
          <w:rFonts w:hint="eastAsia" w:ascii="仿宋" w:hAnsi="仿宋" w:eastAsia="仿宋" w:cs="仿宋"/>
          <w:sz w:val="24"/>
          <w:szCs w:val="24"/>
        </w:rPr>
      </w:pPr>
    </w:p>
    <w:tbl>
      <w:tblPr>
        <w:tblStyle w:val="6"/>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73" w:type="dxa"/>
            <w:gridSpan w:val="2"/>
            <w:vAlign w:val="center"/>
          </w:tcPr>
          <w:p>
            <w:pPr>
              <w:rPr>
                <w:rFonts w:ascii="新宋体" w:eastAsia="新宋体"/>
                <w:szCs w:val="21"/>
              </w:rPr>
            </w:pPr>
            <w:r>
              <w:rPr>
                <w:rFonts w:hint="eastAsia" w:ascii="仿宋" w:hAnsi="仿宋" w:eastAsia="仿宋" w:cs="仿宋"/>
                <w:b/>
                <w:sz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规范标准</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报价要求</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本项目预算控制价为</w:t>
            </w:r>
            <w:r>
              <w:rPr>
                <w:rFonts w:hint="default" w:ascii="仿宋" w:hAnsi="仿宋" w:eastAsia="仿宋" w:cs="仿宋"/>
                <w:sz w:val="24"/>
                <w:lang w:val="en-US"/>
              </w:rPr>
              <w:t>45000</w:t>
            </w:r>
            <w:r>
              <w:rPr>
                <w:rFonts w:hint="eastAsia" w:ascii="仿宋" w:hAnsi="仿宋" w:eastAsia="仿宋" w:cs="仿宋"/>
                <w:sz w:val="24"/>
              </w:rPr>
              <w:t>元</w:t>
            </w:r>
            <w:r>
              <w:rPr>
                <w:rFonts w:hint="eastAsia" w:ascii="仿宋" w:hAnsi="仿宋" w:eastAsia="仿宋" w:cs="仿宋"/>
                <w:sz w:val="24"/>
                <w:lang w:val="en-US" w:eastAsia="zh-CN"/>
              </w:rPr>
              <w:t>/年</w:t>
            </w:r>
            <w:r>
              <w:rPr>
                <w:rFonts w:hint="eastAsia" w:ascii="仿宋" w:hAnsi="仿宋" w:eastAsia="仿宋" w:cs="仿宋"/>
                <w:sz w:val="24"/>
              </w:rPr>
              <w:t>。报价必须包含满足本次全部采购需求所应提供的服务，以及伴随的货物和工程（如有）的价格；包含：产品价格、运输费（含装卸费）、保险费、安装调试费、税费、培训费、产品检测费、产品质保期内维护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合同签订日期</w:t>
            </w:r>
          </w:p>
        </w:tc>
        <w:tc>
          <w:tcPr>
            <w:tcW w:w="8031" w:type="dxa"/>
          </w:tcPr>
          <w:p>
            <w:pPr>
              <w:spacing w:line="360" w:lineRule="exact"/>
              <w:jc w:val="left"/>
              <w:rPr>
                <w:rFonts w:ascii="仿宋" w:hAnsi="仿宋" w:eastAsia="仿宋" w:cs="仿宋"/>
                <w:sz w:val="24"/>
              </w:rPr>
            </w:pPr>
            <w:r>
              <w:rPr>
                <w:rFonts w:ascii="仿宋" w:hAnsi="仿宋" w:eastAsia="仿宋" w:cs="仿宋"/>
                <w:sz w:val="24"/>
              </w:rPr>
              <w:t>成交通知书发出后15日内。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付款方式</w:t>
            </w:r>
          </w:p>
        </w:tc>
        <w:tc>
          <w:tcPr>
            <w:tcW w:w="8031" w:type="dxa"/>
          </w:tcPr>
          <w:p>
            <w:pPr>
              <w:spacing w:line="360" w:lineRule="exact"/>
              <w:jc w:val="left"/>
              <w:rPr>
                <w:rFonts w:hint="eastAsia" w:ascii="仿宋" w:hAnsi="仿宋" w:eastAsia="仿宋" w:cs="仿宋"/>
                <w:color w:val="FF0000"/>
                <w:sz w:val="24"/>
                <w:highlight w:val="yellow"/>
              </w:rPr>
            </w:pPr>
            <w:r>
              <w:rPr>
                <w:rFonts w:hint="eastAsia" w:ascii="仿宋" w:hAnsi="仿宋" w:eastAsia="仿宋" w:cs="仿宋"/>
                <w:sz w:val="24"/>
                <w:highlight w:val="yellow"/>
              </w:rPr>
              <w:t>合同签订后，项目实施完毕验收合格半年后</w:t>
            </w:r>
            <w:r>
              <w:rPr>
                <w:rFonts w:hint="eastAsia" w:ascii="仿宋" w:hAnsi="仿宋" w:eastAsia="仿宋" w:cs="仿宋"/>
                <w:color w:val="FF0000"/>
                <w:sz w:val="24"/>
                <w:highlight w:val="yellow"/>
              </w:rPr>
              <w:t>（以双方签订验收单的日期为计算基准）</w:t>
            </w:r>
            <w:r>
              <w:rPr>
                <w:rFonts w:hint="eastAsia" w:ascii="仿宋" w:hAnsi="仿宋" w:eastAsia="仿宋" w:cs="仿宋"/>
                <w:sz w:val="24"/>
                <w:highlight w:val="yellow"/>
              </w:rPr>
              <w:t>支付合同金额5</w:t>
            </w:r>
            <w:r>
              <w:rPr>
                <w:rFonts w:ascii="仿宋" w:hAnsi="仿宋" w:eastAsia="仿宋" w:cs="仿宋"/>
                <w:sz w:val="24"/>
                <w:highlight w:val="yellow"/>
              </w:rPr>
              <w:t>0%</w:t>
            </w:r>
            <w:r>
              <w:rPr>
                <w:rFonts w:hint="eastAsia" w:ascii="仿宋" w:hAnsi="仿宋" w:eastAsia="仿宋" w:cs="仿宋"/>
                <w:sz w:val="24"/>
                <w:highlight w:val="yellow"/>
              </w:rPr>
              <w:t>，余下5</w:t>
            </w:r>
            <w:r>
              <w:rPr>
                <w:rFonts w:ascii="仿宋" w:hAnsi="仿宋" w:eastAsia="仿宋" w:cs="仿宋"/>
                <w:sz w:val="24"/>
                <w:highlight w:val="yellow"/>
              </w:rPr>
              <w:t>0%</w:t>
            </w:r>
            <w:r>
              <w:rPr>
                <w:rFonts w:hint="eastAsia" w:ascii="仿宋" w:hAnsi="仿宋" w:eastAsia="仿宋" w:cs="仿宋"/>
                <w:sz w:val="24"/>
                <w:highlight w:val="yellow"/>
              </w:rPr>
              <w:t>于验收一年后支付。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交付使用期</w:t>
            </w:r>
          </w:p>
        </w:tc>
        <w:tc>
          <w:tcPr>
            <w:tcW w:w="8031" w:type="dxa"/>
          </w:tcPr>
          <w:p>
            <w:pPr>
              <w:spacing w:line="360" w:lineRule="exact"/>
              <w:jc w:val="left"/>
              <w:rPr>
                <w:rFonts w:ascii="仿宋" w:hAnsi="仿宋" w:eastAsia="仿宋" w:cs="仿宋"/>
                <w:sz w:val="24"/>
                <w:highlight w:val="yellow"/>
              </w:rPr>
            </w:pPr>
            <w:r>
              <w:rPr>
                <w:rFonts w:hint="eastAsia" w:ascii="仿宋" w:hAnsi="仿宋" w:eastAsia="仿宋" w:cs="仿宋"/>
                <w:sz w:val="24"/>
                <w:highlight w:val="yellow"/>
              </w:rPr>
              <w:t>合同签订生效后，</w:t>
            </w:r>
            <w:r>
              <w:rPr>
                <w:rFonts w:ascii="仿宋" w:hAnsi="仿宋" w:eastAsia="仿宋" w:cs="仿宋"/>
                <w:sz w:val="24"/>
                <w:highlight w:val="yellow"/>
              </w:rPr>
              <w:t>10</w:t>
            </w:r>
            <w:r>
              <w:rPr>
                <w:rFonts w:hint="eastAsia" w:ascii="仿宋" w:hAnsi="仿宋" w:eastAsia="仿宋" w:cs="仿宋"/>
                <w:sz w:val="24"/>
                <w:highlight w:val="yellow"/>
              </w:rPr>
              <w:t>个工作日内入场，</w:t>
            </w:r>
            <w:r>
              <w:rPr>
                <w:rFonts w:ascii="仿宋" w:hAnsi="仿宋" w:eastAsia="仿宋" w:cs="仿宋"/>
                <w:sz w:val="24"/>
                <w:highlight w:val="yellow"/>
              </w:rPr>
              <w:t>30</w:t>
            </w:r>
            <w:r>
              <w:rPr>
                <w:rFonts w:hint="eastAsia" w:ascii="仿宋" w:hAnsi="仿宋" w:eastAsia="仿宋" w:cs="仿宋"/>
                <w:sz w:val="24"/>
                <w:highlight w:val="yellow"/>
              </w:rPr>
              <w:t>天内系统正常上线，以试运行验收合格日期为合同履行日期。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交付地点</w:t>
            </w:r>
          </w:p>
        </w:tc>
        <w:tc>
          <w:tcPr>
            <w:tcW w:w="8031" w:type="dxa"/>
          </w:tcPr>
          <w:p>
            <w:pPr>
              <w:spacing w:line="360" w:lineRule="exact"/>
              <w:jc w:val="left"/>
              <w:rPr>
                <w:rFonts w:ascii="仿宋" w:hAnsi="仿宋" w:eastAsia="仿宋" w:cs="仿宋"/>
                <w:sz w:val="24"/>
              </w:rPr>
            </w:pPr>
            <w:r>
              <w:rPr>
                <w:rFonts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验收标准</w:t>
            </w:r>
          </w:p>
        </w:tc>
        <w:tc>
          <w:tcPr>
            <w:tcW w:w="8031" w:type="dxa"/>
          </w:tcPr>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1.验收过程中所产生的一切费用均由中选人承担。报价时应考虑相关费用。</w:t>
            </w:r>
          </w:p>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2.中选人在货物或服务验收时由采购单位对照询价文件的功能目标及技术指标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pPr>
              <w:spacing w:line="360" w:lineRule="exact"/>
              <w:jc w:val="left"/>
              <w:rPr>
                <w:rFonts w:ascii="仿宋" w:hAnsi="仿宋" w:eastAsia="仿宋" w:cs="仿宋"/>
                <w:sz w:val="24"/>
              </w:rPr>
            </w:pPr>
            <w:r>
              <w:rPr>
                <w:rFonts w:hint="eastAsia" w:ascii="仿宋" w:hAnsi="仿宋" w:eastAsia="仿宋" w:cs="仿宋"/>
                <w:color w:val="FF0000"/>
                <w:sz w:val="24"/>
                <w:lang w:val="zh-TW" w:eastAsia="zh-TW"/>
              </w:rPr>
              <w:t>3.成交供应商在交货验收时必须按相关单位及相关标准提供验收资料。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质保期</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highlight w:val="yellow"/>
              </w:rPr>
              <w:t>自验收合格之日起计算不少于一年。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服务标准、期限、效率</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中标人能提供售后维护工程师、通过远程、电话等方式为用户提供合同期内完善的售前和售后技术咨询服务；技术服务时间：提供7×8小时技术支持。</w:t>
            </w:r>
          </w:p>
          <w:p>
            <w:pPr>
              <w:spacing w:line="36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处理问题响应时间：接到采购人处理问题通知后24小时内到达采购人指定现场，8小时内解决故障并恢复系统运行。</w:t>
            </w:r>
          </w:p>
          <w:p>
            <w:pPr>
              <w:spacing w:line="360" w:lineRule="exact"/>
              <w:jc w:val="left"/>
              <w:rPr>
                <w:rFonts w:hint="eastAsia" w:ascii="仿宋" w:hAnsi="仿宋" w:eastAsia="仿宋" w:cs="仿宋"/>
                <w:sz w:val="24"/>
              </w:rPr>
            </w:pPr>
            <w:r>
              <w:rPr>
                <w:rFonts w:hint="eastAsia" w:ascii="仿宋" w:hAnsi="仿宋" w:eastAsia="仿宋" w:cs="仿宋"/>
                <w:sz w:val="24"/>
              </w:rPr>
              <w:t>3.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942" w:type="dxa"/>
          </w:tcPr>
          <w:p>
            <w:pPr>
              <w:spacing w:line="360" w:lineRule="exact"/>
              <w:jc w:val="left"/>
              <w:rPr>
                <w:rFonts w:hint="default" w:ascii="仿宋" w:hAnsi="仿宋" w:eastAsia="仿宋" w:cs="仿宋"/>
                <w:sz w:val="24"/>
                <w:lang w:val="en-US" w:eastAsia="zh-CN"/>
              </w:rPr>
            </w:pPr>
            <w:r>
              <w:rPr>
                <w:rFonts w:hint="eastAsia" w:ascii="仿宋" w:hAnsi="仿宋" w:eastAsia="仿宋" w:cs="仿宋"/>
                <w:sz w:val="24"/>
              </w:rPr>
              <w:t>培训</w:t>
            </w:r>
            <w:r>
              <w:rPr>
                <w:rFonts w:hint="eastAsia" w:ascii="仿宋" w:hAnsi="仿宋" w:eastAsia="仿宋" w:cs="仿宋"/>
                <w:sz w:val="24"/>
                <w:lang w:val="en-US" w:eastAsia="zh-CN"/>
              </w:rPr>
              <w:t>及其它要求</w:t>
            </w:r>
          </w:p>
        </w:tc>
        <w:tc>
          <w:tcPr>
            <w:tcW w:w="8031" w:type="dxa"/>
          </w:tcPr>
          <w:p>
            <w:pPr>
              <w:spacing w:line="360" w:lineRule="exact"/>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签订合同后相关工作人员提供每年不少于4次培训。供应商应提供对采购人的基本培训，使采购人使用人员熟悉掌握培训内容，熟练掌握全部功能，培训的相关费用包括在报价中，采购人不再另行支付。</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sz w:val="24"/>
                <w:lang w:val="en-US" w:eastAsia="zh-CN"/>
              </w:rPr>
              <w:t>2、供应商需免费提供</w:t>
            </w:r>
            <w:r>
              <w:rPr>
                <w:rFonts w:hint="eastAsia" w:ascii="仿宋" w:hAnsi="仿宋" w:eastAsia="仿宋" w:cs="仿宋"/>
                <w:color w:val="000000"/>
                <w:kern w:val="0"/>
                <w:sz w:val="24"/>
                <w:szCs w:val="24"/>
                <w:lang w:val="en-US" w:eastAsia="zh-CN" w:bidi="ar"/>
              </w:rPr>
              <w:t>技术支持保证</w:t>
            </w:r>
            <w:r>
              <w:rPr>
                <w:rFonts w:hint="eastAsia" w:ascii="仿宋" w:hAnsi="仿宋" w:eastAsia="仿宋" w:cs="仿宋"/>
                <w:sz w:val="24"/>
                <w:lang w:val="en-US" w:eastAsia="zh-CN"/>
              </w:rPr>
              <w:t>医院在三甲等级评审或复审时满足</w:t>
            </w:r>
            <w:r>
              <w:rPr>
                <w:rFonts w:hint="eastAsia" w:ascii="仿宋" w:hAnsi="仿宋" w:eastAsia="仿宋" w:cs="仿宋"/>
                <w:color w:val="000000"/>
                <w:kern w:val="0"/>
                <w:sz w:val="24"/>
                <w:szCs w:val="24"/>
                <w:lang w:val="en-US" w:eastAsia="zh-CN" w:bidi="ar"/>
              </w:rPr>
              <w:t>科研教学与图书管理等条款的要求。</w:t>
            </w:r>
          </w:p>
          <w:p>
            <w:pPr>
              <w:pStyle w:val="2"/>
              <w:rPr>
                <w:rFonts w:hint="default" w:eastAsia="仿宋"/>
                <w:lang w:val="en-US" w:eastAsia="zh-CN"/>
              </w:rPr>
            </w:pPr>
            <w:r>
              <w:rPr>
                <w:rFonts w:hint="eastAsia" w:ascii="仿宋" w:hAnsi="仿宋" w:eastAsia="仿宋" w:cs="仿宋"/>
                <w:color w:val="000000"/>
                <w:kern w:val="0"/>
                <w:sz w:val="24"/>
                <w:szCs w:val="24"/>
                <w:lang w:val="en-US" w:eastAsia="zh-CN" w:bidi="ar"/>
              </w:rPr>
              <w:t>3、因电子图书、期刊版权所引起的纠纷，供应商须承担全部责任。</w:t>
            </w:r>
          </w:p>
        </w:tc>
      </w:tr>
    </w:tbl>
    <w:p/>
    <w:p>
      <w:pPr>
        <w:pStyle w:val="3"/>
      </w:pPr>
    </w:p>
    <w:p>
      <w:pPr>
        <w:spacing w:line="360" w:lineRule="auto"/>
        <w:rPr>
          <w:rFonts w:ascii="仿宋" w:hAnsi="仿宋" w:eastAsia="仿宋"/>
          <w:sz w:val="24"/>
        </w:rPr>
      </w:pPr>
      <w:r>
        <w:rPr>
          <w:rFonts w:hint="eastAsia" w:ascii="仿宋" w:hAnsi="仿宋" w:eastAsia="仿宋"/>
          <w:sz w:val="24"/>
        </w:rPr>
        <w:t>评分办法</w:t>
      </w:r>
    </w:p>
    <w:p>
      <w:pPr>
        <w:spacing w:line="360" w:lineRule="auto"/>
        <w:rPr>
          <w:rFonts w:ascii="仿宋" w:hAnsi="仿宋" w:eastAsia="仿宋"/>
          <w:sz w:val="24"/>
        </w:rPr>
      </w:pPr>
      <w:r>
        <w:rPr>
          <w:rFonts w:hint="eastAsia" w:ascii="仿宋" w:hAnsi="仿宋" w:eastAsia="仿宋"/>
          <w:sz w:val="24"/>
        </w:rPr>
        <w:t>一、评分项</w:t>
      </w:r>
    </w:p>
    <w:tbl>
      <w:tblPr>
        <w:tblStyle w:val="6"/>
        <w:tblW w:w="10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72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49" w:type="dxa"/>
            <w:gridSpan w:val="4"/>
            <w:vAlign w:val="center"/>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1.价格分（</w:t>
            </w:r>
            <w:r>
              <w:rPr>
                <w:rFonts w:hint="eastAsia" w:ascii="仿宋" w:hAnsi="仿宋" w:eastAsia="仿宋" w:cs="仿宋"/>
                <w:kern w:val="0"/>
                <w:sz w:val="24"/>
                <w:lang w:val="en-US" w:eastAsia="zh-CN"/>
              </w:rPr>
              <w:t>4</w:t>
            </w:r>
            <w:r>
              <w:rPr>
                <w:rFonts w:hint="eastAsia" w:ascii="仿宋" w:hAnsi="仿宋" w:eastAsia="仿宋" w:cs="仿宋"/>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16" w:type="dxa"/>
            <w:vAlign w:val="center"/>
          </w:tcPr>
          <w:p>
            <w:pPr>
              <w:widowControl/>
              <w:tabs>
                <w:tab w:val="left" w:pos="420"/>
              </w:tabs>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评分因素</w:t>
            </w:r>
          </w:p>
        </w:tc>
        <w:tc>
          <w:tcPr>
            <w:tcW w:w="728"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分值</w:t>
            </w:r>
          </w:p>
        </w:tc>
        <w:tc>
          <w:tcPr>
            <w:tcW w:w="6945" w:type="dxa"/>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6" w:type="dxa"/>
          </w:tcPr>
          <w:p>
            <w:pPr>
              <w:tabs>
                <w:tab w:val="left" w:pos="704"/>
                <w:tab w:val="left" w:pos="846"/>
              </w:tabs>
              <w:spacing w:line="360" w:lineRule="auto"/>
              <w:rPr>
                <w:rFonts w:ascii="仿宋" w:hAnsi="仿宋" w:eastAsia="仿宋" w:cs="仿宋"/>
                <w:sz w:val="24"/>
              </w:rPr>
            </w:pPr>
            <w:r>
              <w:rPr>
                <w:rFonts w:hint="eastAsia" w:ascii="仿宋" w:hAnsi="仿宋" w:eastAsia="仿宋" w:cs="仿宋"/>
                <w:color w:val="000000"/>
                <w:sz w:val="24"/>
              </w:rPr>
              <w:t>1</w:t>
            </w:r>
          </w:p>
        </w:tc>
        <w:tc>
          <w:tcPr>
            <w:tcW w:w="1560" w:type="dxa"/>
          </w:tcPr>
          <w:p>
            <w:pPr>
              <w:spacing w:line="360" w:lineRule="auto"/>
              <w:rPr>
                <w:rFonts w:ascii="仿宋" w:hAnsi="仿宋" w:eastAsia="仿宋" w:cs="仿宋"/>
                <w:sz w:val="24"/>
              </w:rPr>
            </w:pPr>
            <w:r>
              <w:rPr>
                <w:rFonts w:hint="eastAsia" w:ascii="仿宋" w:hAnsi="仿宋" w:eastAsia="仿宋" w:cs="仿宋"/>
                <w:color w:val="000000"/>
                <w:sz w:val="24"/>
              </w:rPr>
              <w:t>价格分</w:t>
            </w:r>
          </w:p>
        </w:tc>
        <w:tc>
          <w:tcPr>
            <w:tcW w:w="728" w:type="dxa"/>
          </w:tcPr>
          <w:p>
            <w:pPr>
              <w:spacing w:line="360" w:lineRule="auto"/>
              <w:rPr>
                <w:rFonts w:ascii="仿宋" w:hAnsi="仿宋" w:eastAsia="仿宋" w:cs="仿宋"/>
                <w:sz w:val="24"/>
              </w:rPr>
            </w:pPr>
            <w:r>
              <w:rPr>
                <w:rFonts w:hint="eastAsia" w:ascii="仿宋" w:hAnsi="仿宋" w:eastAsia="仿宋" w:cs="仿宋"/>
                <w:color w:val="000000"/>
                <w:sz w:val="24"/>
                <w:lang w:val="en-US" w:eastAsia="zh-CN"/>
              </w:rPr>
              <w:t>40</w:t>
            </w:r>
            <w:r>
              <w:rPr>
                <w:rFonts w:hint="eastAsia" w:ascii="仿宋" w:hAnsi="仿宋" w:eastAsia="仿宋" w:cs="仿宋"/>
                <w:color w:val="000000"/>
                <w:sz w:val="24"/>
              </w:rPr>
              <w:t>分</w:t>
            </w:r>
          </w:p>
        </w:tc>
        <w:tc>
          <w:tcPr>
            <w:tcW w:w="6945"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满足招标文件要求且投标价格最低的投标报价为评标基准价，其价格分为满分。其他投标单位的价格分统一按照下列公式计算：</w:t>
            </w:r>
          </w:p>
          <w:p>
            <w:pPr>
              <w:spacing w:line="360" w:lineRule="auto"/>
              <w:rPr>
                <w:rFonts w:hint="default" w:ascii="仿宋" w:hAnsi="仿宋" w:eastAsia="仿宋" w:cs="仿宋"/>
                <w:sz w:val="24"/>
                <w:lang w:val="en-US" w:eastAsia="zh-CN"/>
              </w:rPr>
            </w:pPr>
            <w:r>
              <w:rPr>
                <w:rFonts w:hint="eastAsia" w:ascii="仿宋" w:hAnsi="仿宋" w:eastAsia="仿宋" w:cs="仿宋"/>
                <w:kern w:val="0"/>
                <w:sz w:val="24"/>
              </w:rPr>
              <w:t>投标报价得分=(评标基准价／投标报价)×</w:t>
            </w:r>
            <w:r>
              <w:rPr>
                <w:rFonts w:hint="eastAsia" w:ascii="仿宋" w:hAnsi="仿宋" w:eastAsia="仿宋" w:cs="仿宋"/>
                <w:kern w:val="0"/>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049" w:type="dxa"/>
            <w:gridSpan w:val="4"/>
            <w:vAlign w:val="center"/>
          </w:tcPr>
          <w:p>
            <w:pPr>
              <w:spacing w:line="400" w:lineRule="exact"/>
              <w:rPr>
                <w:rFonts w:ascii="仿宋" w:hAnsi="仿宋" w:eastAsia="仿宋"/>
                <w:bCs/>
                <w:sz w:val="24"/>
              </w:rPr>
            </w:pPr>
            <w:r>
              <w:rPr>
                <w:rFonts w:hint="eastAsia" w:ascii="仿宋" w:hAnsi="仿宋" w:eastAsia="仿宋" w:cs="仿宋"/>
                <w:kern w:val="0"/>
                <w:sz w:val="24"/>
                <w:szCs w:val="20"/>
              </w:rPr>
              <w:t>2</w:t>
            </w:r>
            <w:r>
              <w:rPr>
                <w:rFonts w:hint="eastAsia" w:ascii="仿宋" w:hAnsi="仿宋" w:eastAsia="仿宋" w:cs="仿宋"/>
                <w:color w:val="000000"/>
                <w:sz w:val="24"/>
              </w:rPr>
              <w:t>.项目技术需求响应分（</w:t>
            </w:r>
            <w:r>
              <w:rPr>
                <w:rFonts w:hint="eastAsia" w:ascii="仿宋" w:hAnsi="仿宋" w:eastAsia="仿宋" w:cs="仿宋"/>
                <w:color w:val="000000"/>
                <w:sz w:val="24"/>
                <w:lang w:val="en-US" w:eastAsia="zh-CN"/>
              </w:rPr>
              <w:t>2</w:t>
            </w:r>
            <w:r>
              <w:rPr>
                <w:rFonts w:hint="default" w:ascii="仿宋" w:hAnsi="仿宋" w:eastAsia="仿宋" w:cs="仿宋"/>
                <w:color w:val="000000"/>
                <w:sz w:val="24"/>
                <w:lang w:val="en-US"/>
              </w:rPr>
              <w:t>0</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rPr>
              <w:t>技术性能分</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20</w:t>
            </w:r>
            <w:r>
              <w:rPr>
                <w:rFonts w:hint="eastAsia" w:ascii="仿宋" w:hAnsi="仿宋" w:eastAsia="仿宋" w:cs="仿宋"/>
                <w:kern w:val="0"/>
                <w:sz w:val="24"/>
              </w:rPr>
              <w:t>分</w:t>
            </w:r>
          </w:p>
        </w:tc>
        <w:tc>
          <w:tcPr>
            <w:tcW w:w="6945"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产品技术参数全部满足询价要求的得满分</w:t>
            </w:r>
            <w:r>
              <w:rPr>
                <w:rFonts w:hint="eastAsia" w:ascii="仿宋" w:hAnsi="仿宋" w:eastAsia="仿宋" w:cs="仿宋"/>
                <w:kern w:val="0"/>
                <w:sz w:val="24"/>
                <w:lang w:val="en-US" w:eastAsia="zh-CN"/>
              </w:rPr>
              <w:t>20</w:t>
            </w:r>
            <w:r>
              <w:rPr>
                <w:rFonts w:hint="eastAsia" w:ascii="仿宋" w:hAnsi="仿宋" w:eastAsia="仿宋" w:cs="仿宋"/>
                <w:kern w:val="0"/>
                <w:sz w:val="24"/>
              </w:rPr>
              <w:t>分；参数每项负偏离扣</w:t>
            </w:r>
            <w:r>
              <w:rPr>
                <w:rFonts w:hint="eastAsia" w:ascii="仿宋" w:hAnsi="仿宋" w:eastAsia="仿宋" w:cs="仿宋"/>
                <w:kern w:val="0"/>
                <w:sz w:val="24"/>
                <w:lang w:val="en-US" w:eastAsia="zh-CN"/>
              </w:rPr>
              <w:t>1</w:t>
            </w:r>
            <w:r>
              <w:rPr>
                <w:rFonts w:hint="eastAsia" w:ascii="仿宋" w:hAnsi="仿宋" w:eastAsia="仿宋" w:cs="仿宋"/>
                <w:kern w:val="0"/>
                <w:sz w:val="24"/>
              </w:rPr>
              <w:t>分，分数扣完为止；注：不编列技术偏离表或技术偏离表与项目采购需求不实行一一对照的，扣5分。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04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3.履约能力分（</w:t>
            </w:r>
            <w:r>
              <w:rPr>
                <w:rFonts w:hint="default" w:ascii="仿宋" w:hAnsi="仿宋" w:eastAsia="仿宋" w:cs="仿宋"/>
                <w:kern w:val="0"/>
                <w:sz w:val="24"/>
                <w:lang w:val="en-US"/>
              </w:rPr>
              <w:t>15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评分项目</w:t>
            </w:r>
          </w:p>
        </w:tc>
        <w:tc>
          <w:tcPr>
            <w:tcW w:w="728"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分值</w:t>
            </w:r>
          </w:p>
        </w:tc>
        <w:tc>
          <w:tcPr>
            <w:tcW w:w="6945"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综合资质分</w:t>
            </w:r>
          </w:p>
        </w:tc>
        <w:tc>
          <w:tcPr>
            <w:tcW w:w="728" w:type="dxa"/>
            <w:vAlign w:val="center"/>
          </w:tcPr>
          <w:p>
            <w:pPr>
              <w:widowControl/>
              <w:spacing w:line="360" w:lineRule="auto"/>
              <w:rPr>
                <w:rFonts w:hint="eastAsia" w:ascii="仿宋" w:hAnsi="仿宋" w:eastAsia="仿宋" w:cs="仿宋"/>
                <w:kern w:val="0"/>
                <w:sz w:val="24"/>
              </w:rPr>
            </w:pPr>
            <w:r>
              <w:rPr>
                <w:rFonts w:hint="default" w:ascii="仿宋" w:hAnsi="仿宋" w:eastAsia="仿宋" w:cs="仿宋"/>
                <w:kern w:val="0"/>
                <w:sz w:val="24"/>
                <w:lang w:val="en-US"/>
              </w:rPr>
              <w:t>9</w:t>
            </w:r>
            <w:r>
              <w:rPr>
                <w:rFonts w:hint="eastAsia" w:ascii="仿宋" w:hAnsi="仿宋" w:eastAsia="仿宋" w:cs="仿宋"/>
                <w:kern w:val="0"/>
                <w:sz w:val="24"/>
              </w:rPr>
              <w:t>分</w:t>
            </w:r>
          </w:p>
        </w:tc>
        <w:tc>
          <w:tcPr>
            <w:tcW w:w="6945" w:type="dxa"/>
          </w:tcPr>
          <w:p>
            <w:pPr>
              <w:widowControl/>
              <w:spacing w:line="360" w:lineRule="auto"/>
              <w:rPr>
                <w:rFonts w:hint="eastAsia" w:ascii="仿宋" w:hAnsi="仿宋" w:eastAsia="仿宋" w:cs="仿宋"/>
                <w:kern w:val="0"/>
                <w:sz w:val="24"/>
              </w:rPr>
            </w:pPr>
          </w:p>
          <w:p>
            <w:pPr>
              <w:widowControl/>
              <w:spacing w:line="360" w:lineRule="auto"/>
              <w:rPr>
                <w:rFonts w:hint="eastAsia" w:ascii="仿宋" w:hAnsi="仿宋" w:eastAsia="仿宋" w:cs="仿宋"/>
                <w:kern w:val="0"/>
                <w:sz w:val="24"/>
              </w:rPr>
            </w:pPr>
            <w:r>
              <w:rPr>
                <w:rFonts w:hint="default" w:ascii="仿宋" w:hAnsi="仿宋" w:eastAsia="仿宋" w:cs="仿宋"/>
                <w:kern w:val="0"/>
                <w:sz w:val="24"/>
                <w:lang w:val="en-US" w:eastAsia="zh-CN"/>
              </w:rPr>
              <w:t>1</w:t>
            </w:r>
            <w:r>
              <w:rPr>
                <w:rFonts w:hint="eastAsia" w:ascii="仿宋" w:hAnsi="仿宋" w:eastAsia="仿宋" w:cs="仿宋"/>
                <w:kern w:val="0"/>
                <w:sz w:val="24"/>
                <w:lang w:val="en-US" w:eastAsia="zh-CN"/>
              </w:rPr>
              <w:t>、</w:t>
            </w:r>
            <w:r>
              <w:rPr>
                <w:rFonts w:hint="eastAsia" w:ascii="仿宋" w:hAnsi="仿宋" w:eastAsia="仿宋" w:cs="仿宋"/>
                <w:kern w:val="0"/>
                <w:sz w:val="24"/>
              </w:rPr>
              <w:t>知识产权贯标管理体系认证</w:t>
            </w:r>
            <w:r>
              <w:rPr>
                <w:rFonts w:hint="default" w:ascii="仿宋" w:hAnsi="仿宋" w:eastAsia="仿宋" w:cs="仿宋"/>
                <w:kern w:val="0"/>
                <w:sz w:val="24"/>
                <w:lang w:val="en-US"/>
              </w:rPr>
              <w:t>1</w:t>
            </w:r>
            <w:r>
              <w:rPr>
                <w:rFonts w:hint="eastAsia" w:ascii="仿宋" w:hAnsi="仿宋" w:eastAsia="仿宋" w:cs="仿宋"/>
                <w:kern w:val="0"/>
                <w:sz w:val="24"/>
              </w:rPr>
              <w:t>分</w:t>
            </w:r>
          </w:p>
          <w:p>
            <w:pPr>
              <w:widowControl/>
              <w:spacing w:line="360" w:lineRule="auto"/>
              <w:rPr>
                <w:rFonts w:hint="eastAsia" w:ascii="仿宋" w:hAnsi="仿宋" w:eastAsia="仿宋" w:cs="仿宋"/>
                <w:kern w:val="0"/>
                <w:sz w:val="24"/>
              </w:rPr>
            </w:pPr>
            <w:r>
              <w:rPr>
                <w:rFonts w:hint="default" w:ascii="仿宋" w:hAnsi="仿宋" w:eastAsia="仿宋" w:cs="仿宋"/>
                <w:kern w:val="0"/>
                <w:sz w:val="24"/>
                <w:lang w:val="en-US"/>
              </w:rPr>
              <w:t>2</w:t>
            </w:r>
            <w:r>
              <w:rPr>
                <w:rFonts w:hint="eastAsia" w:ascii="仿宋" w:hAnsi="仿宋" w:eastAsia="仿宋" w:cs="仿宋"/>
                <w:kern w:val="0"/>
                <w:sz w:val="24"/>
                <w:lang w:val="en-US" w:eastAsia="zh-CN"/>
              </w:rPr>
              <w:t>、</w:t>
            </w:r>
            <w:r>
              <w:rPr>
                <w:rFonts w:hint="eastAsia" w:ascii="仿宋" w:hAnsi="仿宋" w:eastAsia="仿宋" w:cs="仿宋"/>
                <w:kern w:val="0"/>
                <w:sz w:val="24"/>
              </w:rPr>
              <w:t>有效期内的国家高新企业认证</w:t>
            </w:r>
            <w:r>
              <w:rPr>
                <w:rFonts w:hint="default" w:ascii="仿宋" w:hAnsi="仿宋" w:eastAsia="仿宋" w:cs="仿宋"/>
                <w:kern w:val="0"/>
                <w:sz w:val="24"/>
                <w:lang w:val="en-US"/>
              </w:rPr>
              <w:t>1</w:t>
            </w:r>
            <w:r>
              <w:rPr>
                <w:rFonts w:hint="eastAsia" w:ascii="仿宋" w:hAnsi="仿宋" w:eastAsia="仿宋" w:cs="仿宋"/>
                <w:kern w:val="0"/>
                <w:sz w:val="24"/>
              </w:rPr>
              <w:t>分</w:t>
            </w:r>
          </w:p>
          <w:p>
            <w:pPr>
              <w:widowControl/>
              <w:spacing w:line="360" w:lineRule="auto"/>
              <w:rPr>
                <w:rFonts w:hint="eastAsia" w:ascii="仿宋" w:hAnsi="仿宋" w:eastAsia="仿宋" w:cs="仿宋"/>
                <w:kern w:val="0"/>
                <w:sz w:val="24"/>
                <w:lang w:val="en-US" w:eastAsia="zh-CN"/>
              </w:rPr>
            </w:pPr>
            <w:r>
              <w:rPr>
                <w:rFonts w:hint="default" w:ascii="仿宋" w:hAnsi="仿宋" w:eastAsia="仿宋" w:cs="仿宋"/>
                <w:kern w:val="0"/>
                <w:sz w:val="24"/>
                <w:lang w:val="en-US"/>
              </w:rPr>
              <w:t>3</w:t>
            </w:r>
            <w:r>
              <w:rPr>
                <w:rFonts w:hint="eastAsia" w:ascii="仿宋" w:hAnsi="仿宋" w:eastAsia="仿宋" w:cs="仿宋"/>
                <w:kern w:val="0"/>
                <w:sz w:val="24"/>
                <w:lang w:val="en-US" w:eastAsia="zh-CN"/>
              </w:rPr>
              <w:t>、</w:t>
            </w:r>
            <w:r>
              <w:rPr>
                <w:rFonts w:hint="eastAsia" w:ascii="仿宋" w:hAnsi="仿宋" w:eastAsia="仿宋" w:cs="仿宋"/>
                <w:kern w:val="0"/>
                <w:sz w:val="24"/>
              </w:rPr>
              <w:t>省级或以上专精特新企业认证。</w:t>
            </w:r>
            <w:r>
              <w:rPr>
                <w:rFonts w:hint="default" w:ascii="仿宋" w:hAnsi="仿宋" w:eastAsia="仿宋" w:cs="仿宋"/>
                <w:kern w:val="0"/>
                <w:sz w:val="24"/>
                <w:lang w:val="en-US"/>
              </w:rPr>
              <w:t>1</w:t>
            </w:r>
            <w:r>
              <w:rPr>
                <w:rFonts w:hint="eastAsia" w:ascii="仿宋" w:hAnsi="仿宋" w:eastAsia="仿宋" w:cs="仿宋"/>
                <w:kern w:val="0"/>
                <w:sz w:val="24"/>
                <w:lang w:val="en-US" w:eastAsia="zh-CN"/>
              </w:rPr>
              <w:t>分</w:t>
            </w:r>
          </w:p>
          <w:p>
            <w:pPr>
              <w:widowControl/>
              <w:spacing w:line="360" w:lineRule="auto"/>
              <w:rPr>
                <w:rFonts w:hint="default" w:ascii="仿宋" w:hAnsi="仿宋" w:eastAsia="仿宋" w:cs="仿宋"/>
                <w:kern w:val="0"/>
                <w:sz w:val="24"/>
                <w:lang w:val="en-US" w:eastAsia="zh-CN"/>
              </w:rPr>
            </w:pPr>
            <w:r>
              <w:rPr>
                <w:rFonts w:hint="default" w:ascii="仿宋" w:hAnsi="仿宋" w:eastAsia="仿宋" w:cs="仿宋"/>
                <w:kern w:val="0"/>
                <w:sz w:val="24"/>
                <w:lang w:val="en-US"/>
              </w:rPr>
              <w:t>4</w:t>
            </w:r>
            <w:r>
              <w:rPr>
                <w:rFonts w:hint="eastAsia" w:ascii="仿宋" w:hAnsi="仿宋" w:eastAsia="仿宋" w:cs="仿宋"/>
                <w:kern w:val="0"/>
                <w:sz w:val="24"/>
                <w:lang w:val="en-US" w:eastAsia="zh-CN"/>
              </w:rPr>
              <w:t>、</w:t>
            </w:r>
            <w:r>
              <w:rPr>
                <w:rFonts w:hint="eastAsia" w:ascii="仿宋" w:hAnsi="仿宋" w:eastAsia="仿宋" w:cs="仿宋"/>
                <w:kern w:val="0"/>
                <w:sz w:val="24"/>
              </w:rPr>
              <w:t>提供生产厂端的互联网出版许可证</w:t>
            </w:r>
            <w:r>
              <w:rPr>
                <w:rFonts w:hint="eastAsia" w:ascii="仿宋" w:hAnsi="仿宋" w:eastAsia="仿宋" w:cs="仿宋"/>
                <w:kern w:val="0"/>
                <w:sz w:val="24"/>
                <w:lang w:val="en-US" w:eastAsia="zh-CN"/>
              </w:rPr>
              <w:t>。</w:t>
            </w:r>
            <w:r>
              <w:rPr>
                <w:rFonts w:hint="default" w:ascii="仿宋" w:hAnsi="仿宋" w:eastAsia="仿宋" w:cs="仿宋"/>
                <w:kern w:val="0"/>
                <w:sz w:val="24"/>
                <w:lang w:val="en-US" w:eastAsia="zh-CN"/>
              </w:rPr>
              <w:t>2</w:t>
            </w:r>
            <w:r>
              <w:rPr>
                <w:rFonts w:hint="eastAsia" w:ascii="仿宋" w:hAnsi="仿宋" w:eastAsia="仿宋" w:cs="仿宋"/>
                <w:kern w:val="0"/>
                <w:sz w:val="24"/>
                <w:lang w:val="en-US" w:eastAsia="zh-CN"/>
              </w:rPr>
              <w:t>分</w:t>
            </w:r>
          </w:p>
          <w:p>
            <w:pPr>
              <w:widowControl/>
              <w:spacing w:line="360" w:lineRule="auto"/>
              <w:rPr>
                <w:rFonts w:hint="default" w:ascii="仿宋" w:hAnsi="仿宋" w:eastAsia="仿宋" w:cs="仿宋"/>
                <w:kern w:val="0"/>
                <w:sz w:val="24"/>
                <w:lang w:val="en-US" w:eastAsia="zh-CN"/>
              </w:rPr>
            </w:pPr>
            <w:r>
              <w:rPr>
                <w:rFonts w:hint="default" w:ascii="仿宋" w:hAnsi="仿宋" w:eastAsia="仿宋" w:cs="仿宋"/>
                <w:kern w:val="0"/>
                <w:sz w:val="24"/>
                <w:lang w:val="en-US"/>
              </w:rPr>
              <w:t>5</w:t>
            </w:r>
            <w:r>
              <w:rPr>
                <w:rFonts w:hint="eastAsia" w:ascii="仿宋" w:hAnsi="仿宋" w:eastAsia="仿宋" w:cs="仿宋"/>
                <w:kern w:val="0"/>
                <w:sz w:val="24"/>
                <w:lang w:val="en-US" w:eastAsia="zh-CN"/>
              </w:rPr>
              <w:t>、</w:t>
            </w:r>
            <w:r>
              <w:rPr>
                <w:rFonts w:hint="eastAsia" w:ascii="仿宋" w:hAnsi="仿宋" w:eastAsia="仿宋" w:cs="仿宋"/>
                <w:kern w:val="0"/>
                <w:sz w:val="24"/>
              </w:rPr>
              <w:t>出版物经营许可证</w:t>
            </w:r>
            <w:r>
              <w:rPr>
                <w:rFonts w:hint="eastAsia" w:ascii="仿宋" w:hAnsi="仿宋" w:eastAsia="仿宋" w:cs="仿宋"/>
                <w:kern w:val="0"/>
                <w:sz w:val="24"/>
                <w:lang w:eastAsia="zh-CN"/>
              </w:rPr>
              <w:t>。</w:t>
            </w:r>
            <w:r>
              <w:rPr>
                <w:rFonts w:hint="default" w:ascii="仿宋" w:hAnsi="仿宋" w:eastAsia="仿宋" w:cs="仿宋"/>
                <w:kern w:val="0"/>
                <w:sz w:val="24"/>
                <w:lang w:val="en-US" w:eastAsia="zh-CN"/>
              </w:rPr>
              <w:t>2</w:t>
            </w:r>
            <w:r>
              <w:rPr>
                <w:rFonts w:hint="eastAsia" w:ascii="仿宋" w:hAnsi="仿宋" w:eastAsia="仿宋" w:cs="仿宋"/>
                <w:kern w:val="0"/>
                <w:sz w:val="24"/>
                <w:lang w:val="en-US" w:eastAsia="zh-CN"/>
              </w:rPr>
              <w:t>分</w:t>
            </w:r>
          </w:p>
          <w:p>
            <w:pPr>
              <w:widowControl/>
              <w:spacing w:line="360" w:lineRule="auto"/>
              <w:rPr>
                <w:rFonts w:hint="default" w:ascii="仿宋" w:hAnsi="仿宋" w:eastAsia="仿宋" w:cs="仿宋"/>
                <w:kern w:val="0"/>
                <w:sz w:val="24"/>
                <w:lang w:val="en-US" w:eastAsia="zh-CN"/>
              </w:rPr>
            </w:pPr>
            <w:r>
              <w:rPr>
                <w:rFonts w:hint="default" w:ascii="仿宋" w:hAnsi="仿宋" w:eastAsia="仿宋" w:cs="仿宋"/>
                <w:kern w:val="0"/>
                <w:sz w:val="24"/>
                <w:lang w:val="en-US"/>
              </w:rPr>
              <w:t>6</w:t>
            </w:r>
            <w:r>
              <w:rPr>
                <w:rFonts w:hint="eastAsia" w:ascii="仿宋" w:hAnsi="仿宋" w:eastAsia="仿宋" w:cs="仿宋"/>
                <w:kern w:val="0"/>
                <w:sz w:val="24"/>
                <w:lang w:val="en-US" w:eastAsia="zh-CN"/>
              </w:rPr>
              <w:t>、</w:t>
            </w:r>
            <w:r>
              <w:rPr>
                <w:rFonts w:hint="eastAsia" w:ascii="仿宋" w:hAnsi="仿宋" w:eastAsia="仿宋" w:cs="仿宋"/>
                <w:kern w:val="0"/>
                <w:sz w:val="24"/>
              </w:rPr>
              <w:t>电信与信息服务业务经营许可证</w:t>
            </w:r>
            <w:r>
              <w:rPr>
                <w:rFonts w:hint="eastAsia" w:ascii="仿宋" w:hAnsi="仿宋" w:eastAsia="仿宋" w:cs="仿宋"/>
                <w:kern w:val="0"/>
                <w:sz w:val="24"/>
                <w:lang w:eastAsia="zh-CN"/>
              </w:rPr>
              <w:t>。</w:t>
            </w:r>
            <w:r>
              <w:rPr>
                <w:rFonts w:hint="default" w:ascii="仿宋" w:hAnsi="仿宋" w:eastAsia="仿宋" w:cs="仿宋"/>
                <w:kern w:val="0"/>
                <w:sz w:val="24"/>
                <w:lang w:val="en-US" w:eastAsia="zh-CN"/>
              </w:rPr>
              <w:t>2</w:t>
            </w:r>
            <w:r>
              <w:rPr>
                <w:rFonts w:hint="eastAsia" w:ascii="仿宋" w:hAnsi="仿宋" w:eastAsia="仿宋" w:cs="仿宋"/>
                <w:kern w:val="0"/>
                <w:sz w:val="24"/>
                <w:lang w:val="en-US" w:eastAsia="zh-CN"/>
              </w:rPr>
              <w:t>分</w:t>
            </w:r>
          </w:p>
          <w:p>
            <w:pPr>
              <w:widowControl/>
              <w:spacing w:line="360" w:lineRule="auto"/>
              <w:rPr>
                <w:rFonts w:hint="default"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ascii="仿宋" w:hAnsi="仿宋" w:eastAsia="仿宋" w:cs="仿宋"/>
                <w:kern w:val="0"/>
                <w:sz w:val="24"/>
              </w:rPr>
              <w:t>3</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业绩分</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6</w:t>
            </w:r>
            <w:r>
              <w:rPr>
                <w:rFonts w:hint="eastAsia" w:ascii="仿宋" w:hAnsi="仿宋" w:eastAsia="仿宋" w:cs="仿宋"/>
                <w:kern w:val="0"/>
                <w:sz w:val="24"/>
              </w:rPr>
              <w:t>分</w:t>
            </w:r>
          </w:p>
        </w:tc>
        <w:tc>
          <w:tcPr>
            <w:tcW w:w="6945"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根据各投标人所提供的2018年至今广西同类项目业绩，每个</w:t>
            </w:r>
            <w:r>
              <w:rPr>
                <w:rFonts w:hint="eastAsia" w:ascii="仿宋" w:hAnsi="仿宋" w:eastAsia="仿宋" w:cs="仿宋"/>
                <w:kern w:val="0"/>
                <w:sz w:val="24"/>
                <w:lang w:val="en-US" w:eastAsia="zh-CN"/>
              </w:rPr>
              <w:t>1</w:t>
            </w:r>
            <w:r>
              <w:rPr>
                <w:rFonts w:hint="eastAsia" w:ascii="仿宋" w:hAnsi="仿宋" w:eastAsia="仿宋" w:cs="仿宋"/>
                <w:kern w:val="0"/>
                <w:sz w:val="24"/>
              </w:rPr>
              <w:t>分，最高分</w:t>
            </w:r>
            <w:r>
              <w:rPr>
                <w:rFonts w:hint="default" w:ascii="仿宋" w:hAnsi="仿宋" w:eastAsia="仿宋" w:cs="仿宋"/>
                <w:kern w:val="0"/>
                <w:sz w:val="24"/>
                <w:lang w:val="en-US"/>
              </w:rPr>
              <w:t>6</w:t>
            </w:r>
            <w:r>
              <w:rPr>
                <w:rFonts w:hint="eastAsia" w:ascii="仿宋" w:hAnsi="仿宋" w:eastAsia="仿宋" w:cs="仿宋"/>
                <w:kern w:val="0"/>
                <w:sz w:val="24"/>
              </w:rPr>
              <w:t>分。提供同类业绩证明文件应包括合同关键页加盖公章。否则，视为无效业绩。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04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4.售后服务分（2</w:t>
            </w:r>
            <w:r>
              <w:rPr>
                <w:rFonts w:hint="default" w:ascii="仿宋" w:hAnsi="仿宋" w:eastAsia="仿宋" w:cs="仿宋"/>
                <w:kern w:val="0"/>
                <w:sz w:val="24"/>
                <w:lang w:val="en-US"/>
              </w:rPr>
              <w:t>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售后服务方案</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9</w:t>
            </w:r>
            <w:r>
              <w:rPr>
                <w:rFonts w:hint="eastAsia" w:ascii="仿宋" w:hAnsi="仿宋" w:eastAsia="仿宋" w:cs="仿宋"/>
                <w:kern w:val="0"/>
                <w:sz w:val="24"/>
              </w:rPr>
              <w:t>分</w:t>
            </w:r>
          </w:p>
        </w:tc>
        <w:tc>
          <w:tcPr>
            <w:tcW w:w="6945"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一档：①售后方案详细，有具体的人员安排、服务计划，有具体的售后服务措施及相关承诺、无后续系统完善升级服务、无日常系统应用技术支持服务，得0~</w:t>
            </w:r>
            <w:r>
              <w:rPr>
                <w:rFonts w:hint="default" w:ascii="仿宋" w:hAnsi="仿宋" w:eastAsia="仿宋" w:cs="仿宋"/>
                <w:kern w:val="0"/>
                <w:sz w:val="24"/>
                <w:lang w:val="en-US"/>
              </w:rPr>
              <w:t>3</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二档：②售后方案有具体的人员安排、服务计划，有具体的售后服务措施及相关承诺、有后续系统完善升级服务、无日常系统应用技术支持服务，得</w:t>
            </w:r>
            <w:r>
              <w:rPr>
                <w:rFonts w:hint="default" w:ascii="仿宋" w:hAnsi="仿宋" w:eastAsia="仿宋" w:cs="仿宋"/>
                <w:kern w:val="0"/>
                <w:sz w:val="24"/>
                <w:lang w:val="en-US"/>
              </w:rPr>
              <w:t>3</w:t>
            </w:r>
            <w:r>
              <w:rPr>
                <w:rFonts w:hint="eastAsia" w:ascii="仿宋" w:hAnsi="仿宋" w:eastAsia="仿宋" w:cs="仿宋"/>
                <w:kern w:val="0"/>
                <w:sz w:val="24"/>
              </w:rPr>
              <w:t>.1~</w:t>
            </w:r>
            <w:r>
              <w:rPr>
                <w:rFonts w:hint="default" w:ascii="仿宋" w:hAnsi="仿宋" w:eastAsia="仿宋" w:cs="仿宋"/>
                <w:kern w:val="0"/>
                <w:sz w:val="24"/>
                <w:lang w:val="en-US"/>
              </w:rPr>
              <w:t>6</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三档：③有售后方案，有具体的人员安排、服务计划，有具体的售后服务措施及相关承诺、有后续系统完善升级服务、有日常系统应用技术支持服务及相关承诺，得</w:t>
            </w:r>
            <w:r>
              <w:rPr>
                <w:rFonts w:hint="default" w:ascii="仿宋" w:hAnsi="仿宋" w:eastAsia="仿宋" w:cs="仿宋"/>
                <w:kern w:val="0"/>
                <w:sz w:val="24"/>
                <w:lang w:val="en-US"/>
              </w:rPr>
              <w:t>6.</w:t>
            </w:r>
            <w:r>
              <w:rPr>
                <w:rFonts w:hint="eastAsia" w:ascii="仿宋" w:hAnsi="仿宋" w:eastAsia="仿宋" w:cs="仿宋"/>
                <w:kern w:val="0"/>
                <w:sz w:val="24"/>
              </w:rPr>
              <w:t>1~</w:t>
            </w:r>
            <w:r>
              <w:rPr>
                <w:rFonts w:hint="default" w:ascii="仿宋" w:hAnsi="仿宋" w:eastAsia="仿宋" w:cs="仿宋"/>
                <w:kern w:val="0"/>
                <w:sz w:val="24"/>
                <w:lang w:val="en-US"/>
              </w:rPr>
              <w:t>9</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故障响应服务，分档次</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9</w:t>
            </w:r>
            <w:r>
              <w:rPr>
                <w:rFonts w:hint="eastAsia" w:ascii="仿宋" w:hAnsi="仿宋" w:eastAsia="仿宋" w:cs="仿宋"/>
                <w:kern w:val="0"/>
                <w:sz w:val="24"/>
              </w:rPr>
              <w:t>分</w:t>
            </w:r>
          </w:p>
        </w:tc>
        <w:tc>
          <w:tcPr>
            <w:tcW w:w="6945"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①遇故障响应时间在1小时内提供远程服务，如无法解决可在6小时内到现场处置；得</w:t>
            </w:r>
            <w:r>
              <w:rPr>
                <w:rFonts w:hint="default" w:ascii="仿宋" w:hAnsi="仿宋" w:eastAsia="仿宋" w:cs="仿宋"/>
                <w:kern w:val="0"/>
                <w:sz w:val="24"/>
                <w:lang w:val="en-US"/>
              </w:rPr>
              <w:t>3</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②遇故障响应时间在20分钟以上提供远程服务，如无法解决可在4小时内到现场处置，得</w:t>
            </w:r>
            <w:r>
              <w:rPr>
                <w:rFonts w:hint="default" w:ascii="仿宋" w:hAnsi="仿宋" w:eastAsia="仿宋" w:cs="仿宋"/>
                <w:kern w:val="0"/>
                <w:sz w:val="24"/>
                <w:lang w:val="en-US"/>
              </w:rPr>
              <w:t>5</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③遇故障在20分钟内提供远程服务，如无法解决可在2小时内到现场处置，得</w:t>
            </w:r>
            <w:r>
              <w:rPr>
                <w:rFonts w:hint="default" w:ascii="仿宋" w:hAnsi="仿宋" w:eastAsia="仿宋" w:cs="仿宋"/>
                <w:kern w:val="0"/>
                <w:sz w:val="24"/>
                <w:lang w:val="en-US"/>
              </w:rPr>
              <w:t>7</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4 \* GB3 </w:instrText>
            </w:r>
            <w:r>
              <w:rPr>
                <w:rFonts w:hint="eastAsia" w:ascii="仿宋" w:hAnsi="仿宋" w:eastAsia="仿宋" w:cs="仿宋"/>
                <w:kern w:val="0"/>
                <w:sz w:val="24"/>
              </w:rPr>
              <w:fldChar w:fldCharType="separate"/>
            </w:r>
            <w:r>
              <w:rPr>
                <w:rFonts w:hint="eastAsia" w:ascii="仿宋" w:hAnsi="仿宋" w:eastAsia="仿宋" w:cs="仿宋"/>
                <w:kern w:val="0"/>
                <w:sz w:val="24"/>
              </w:rPr>
              <w:t>④</w:t>
            </w:r>
            <w:r>
              <w:rPr>
                <w:rFonts w:hint="eastAsia" w:ascii="仿宋" w:hAnsi="仿宋" w:eastAsia="仿宋" w:cs="仿宋"/>
                <w:kern w:val="0"/>
                <w:sz w:val="24"/>
              </w:rPr>
              <w:fldChar w:fldCharType="end"/>
            </w:r>
            <w:r>
              <w:rPr>
                <w:rFonts w:hint="eastAsia" w:ascii="仿宋" w:hAnsi="仿宋" w:eastAsia="仿宋" w:cs="仿宋"/>
                <w:kern w:val="0"/>
                <w:sz w:val="24"/>
              </w:rPr>
              <w:t>遇故障在20分钟内提供远程服务，如无法解决可在1小时内到现场处置，得</w:t>
            </w:r>
            <w:r>
              <w:rPr>
                <w:rFonts w:hint="default" w:ascii="仿宋" w:hAnsi="仿宋" w:eastAsia="仿宋" w:cs="仿宋"/>
                <w:kern w:val="0"/>
                <w:sz w:val="24"/>
                <w:lang w:val="en-US"/>
              </w:rPr>
              <w:t>9</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免费巡检维保服务分</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3</w:t>
            </w:r>
            <w:r>
              <w:rPr>
                <w:rFonts w:hint="eastAsia" w:ascii="仿宋" w:hAnsi="仿宋" w:eastAsia="仿宋" w:cs="仿宋"/>
                <w:kern w:val="0"/>
                <w:sz w:val="24"/>
              </w:rPr>
              <w:t>分</w:t>
            </w:r>
          </w:p>
        </w:tc>
        <w:tc>
          <w:tcPr>
            <w:tcW w:w="6945"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①质保期内提供到现场免费巡检维保服务，一年</w:t>
            </w:r>
            <w:r>
              <w:rPr>
                <w:rFonts w:hint="default" w:ascii="仿宋" w:hAnsi="仿宋" w:eastAsia="仿宋" w:cs="仿宋"/>
                <w:kern w:val="0"/>
                <w:sz w:val="24"/>
                <w:lang w:val="en-US"/>
              </w:rPr>
              <w:t>5</w:t>
            </w:r>
            <w:r>
              <w:rPr>
                <w:rFonts w:hint="eastAsia" w:ascii="仿宋" w:hAnsi="仿宋" w:eastAsia="仿宋" w:cs="仿宋"/>
                <w:kern w:val="0"/>
                <w:sz w:val="24"/>
              </w:rPr>
              <w:t>次的，得1分；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②质保期内提供到现场免费巡检维保服务，一年</w:t>
            </w:r>
            <w:r>
              <w:rPr>
                <w:rFonts w:hint="default" w:ascii="仿宋" w:hAnsi="仿宋" w:eastAsia="仿宋" w:cs="仿宋"/>
                <w:kern w:val="0"/>
                <w:sz w:val="24"/>
                <w:lang w:val="en-US"/>
              </w:rPr>
              <w:t>6</w:t>
            </w:r>
            <w:r>
              <w:rPr>
                <w:rFonts w:hint="eastAsia" w:ascii="仿宋" w:hAnsi="仿宋" w:eastAsia="仿宋" w:cs="仿宋"/>
                <w:kern w:val="0"/>
                <w:sz w:val="24"/>
              </w:rPr>
              <w:t>次的，得2分；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③质保期内提供到现场免费巡检维保服务，一年</w:t>
            </w:r>
            <w:r>
              <w:rPr>
                <w:rFonts w:hint="default" w:ascii="仿宋" w:hAnsi="仿宋" w:eastAsia="仿宋" w:cs="仿宋"/>
                <w:kern w:val="0"/>
                <w:sz w:val="24"/>
                <w:lang w:val="en-US"/>
              </w:rPr>
              <w:t>7</w:t>
            </w:r>
            <w:r>
              <w:rPr>
                <w:rFonts w:hint="eastAsia" w:ascii="仿宋" w:hAnsi="仿宋" w:eastAsia="仿宋" w:cs="仿宋"/>
                <w:kern w:val="0"/>
                <w:sz w:val="24"/>
              </w:rPr>
              <w:t>次的，得3分。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lang w:eastAsia="zh-CN"/>
              </w:rPr>
              <w:t>免费提供驻场服务</w:t>
            </w:r>
          </w:p>
        </w:tc>
        <w:tc>
          <w:tcPr>
            <w:tcW w:w="728"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4</w:t>
            </w:r>
            <w:r>
              <w:rPr>
                <w:rFonts w:hint="eastAsia" w:ascii="仿宋" w:hAnsi="仿宋" w:eastAsia="仿宋" w:cs="仿宋"/>
                <w:kern w:val="0"/>
                <w:sz w:val="24"/>
              </w:rPr>
              <w:t>分</w:t>
            </w:r>
          </w:p>
        </w:tc>
        <w:tc>
          <w:tcPr>
            <w:tcW w:w="6945"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软件部分</w:t>
            </w:r>
            <w:r>
              <w:rPr>
                <w:rFonts w:hint="eastAsia" w:ascii="仿宋" w:hAnsi="仿宋" w:eastAsia="仿宋" w:cs="仿宋"/>
                <w:kern w:val="0"/>
                <w:sz w:val="24"/>
                <w:lang w:eastAsia="zh-CN"/>
              </w:rPr>
              <w:t>在合同期提供</w:t>
            </w:r>
            <w:r>
              <w:rPr>
                <w:rFonts w:hint="eastAsia" w:ascii="仿宋" w:hAnsi="仿宋" w:eastAsia="仿宋" w:cs="仿宋"/>
                <w:kern w:val="0"/>
                <w:sz w:val="24"/>
              </w:rPr>
              <w:t>免费</w:t>
            </w:r>
            <w:r>
              <w:rPr>
                <w:rFonts w:hint="eastAsia" w:ascii="仿宋" w:hAnsi="仿宋" w:eastAsia="仿宋" w:cs="仿宋"/>
                <w:kern w:val="0"/>
                <w:sz w:val="24"/>
                <w:lang w:eastAsia="zh-CN"/>
              </w:rPr>
              <w:t>驻场服务的得</w:t>
            </w:r>
            <w:r>
              <w:rPr>
                <w:rFonts w:hint="eastAsia" w:ascii="仿宋" w:hAnsi="仿宋" w:eastAsia="仿宋" w:cs="仿宋"/>
                <w:kern w:val="0"/>
                <w:sz w:val="24"/>
              </w:rPr>
              <w:t>分</w:t>
            </w:r>
            <w:r>
              <w:rPr>
                <w:rFonts w:hint="default" w:ascii="仿宋" w:hAnsi="仿宋" w:eastAsia="仿宋" w:cs="仿宋"/>
                <w:kern w:val="0"/>
                <w:sz w:val="24"/>
                <w:lang w:val="en-US"/>
              </w:rPr>
              <w:t>4</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p>
        </w:tc>
      </w:tr>
    </w:tbl>
    <w:p>
      <w:pPr>
        <w:spacing w:line="360" w:lineRule="auto"/>
        <w:rPr>
          <w:rFonts w:ascii="仿宋" w:hAnsi="仿宋" w:eastAsia="仿宋"/>
          <w:b/>
          <w:sz w:val="24"/>
        </w:rPr>
      </w:pPr>
      <w:bookmarkStart w:id="0" w:name="_Toc4875"/>
      <w:r>
        <w:rPr>
          <w:rFonts w:hint="eastAsia" w:ascii="仿宋" w:hAnsi="仿宋" w:eastAsia="仿宋"/>
          <w:b/>
          <w:sz w:val="24"/>
        </w:rPr>
        <w:t>二</w:t>
      </w:r>
      <w:r>
        <w:rPr>
          <w:rFonts w:ascii="仿宋" w:hAnsi="仿宋" w:eastAsia="仿宋"/>
          <w:b/>
          <w:sz w:val="24"/>
        </w:rPr>
        <w:t>、</w:t>
      </w:r>
      <w:r>
        <w:rPr>
          <w:rFonts w:hint="eastAsia" w:ascii="仿宋" w:hAnsi="仿宋" w:eastAsia="仿宋"/>
          <w:b/>
          <w:sz w:val="24"/>
          <w:lang w:val="en-US" w:eastAsia="zh-CN"/>
        </w:rPr>
        <w:t>综合评选</w:t>
      </w:r>
      <w:r>
        <w:rPr>
          <w:rFonts w:ascii="仿宋" w:hAnsi="仿宋" w:eastAsia="仿宋"/>
          <w:b/>
          <w:sz w:val="24"/>
        </w:rPr>
        <w:t>推荐原则</w:t>
      </w:r>
      <w:bookmarkEnd w:id="0"/>
    </w:p>
    <w:p>
      <w:pPr>
        <w:spacing w:line="400" w:lineRule="exact"/>
        <w:ind w:firstLine="480" w:firstLineChars="200"/>
        <w:rPr>
          <w:rFonts w:hint="eastAsia" w:ascii="仿宋" w:hAnsi="仿宋" w:eastAsia="仿宋"/>
          <w:bCs/>
          <w:sz w:val="24"/>
          <w:lang w:val="en-US" w:eastAsia="zh-CN"/>
        </w:rPr>
      </w:pPr>
      <w:r>
        <w:rPr>
          <w:rFonts w:hint="eastAsia" w:ascii="仿宋" w:hAnsi="仿宋" w:eastAsia="仿宋"/>
          <w:bCs/>
          <w:sz w:val="24"/>
          <w:lang w:val="en-US" w:eastAsia="zh-CN"/>
        </w:rPr>
        <w:t>（一）综合评选委员会由医院院内人员组成，评选委员会根据综合得分由高到低排序，若得分相同时，按评选报价由低到高排序；若仍相同的，依次按照技术参数分、综合信誉分、服务承诺分由高到低排序。</w:t>
      </w:r>
    </w:p>
    <w:p>
      <w:pPr>
        <w:pStyle w:val="4"/>
        <w:rPr>
          <w:rFonts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（二）采购人将以排名第一的参询报价、参数等内容为主要参照，送第三方招标代理公开招标。</w:t>
      </w:r>
    </w:p>
    <w:p>
      <w:pPr>
        <w:spacing w:line="400" w:lineRule="exact"/>
        <w:ind w:firstLine="480" w:firstLineChars="200"/>
        <w:rPr>
          <w:rFonts w:ascii="仿宋" w:hAnsi="仿宋" w:eastAsia="仿宋"/>
          <w:bCs/>
          <w:sz w:val="24"/>
        </w:rPr>
      </w:pPr>
      <w:r>
        <w:rPr>
          <w:rFonts w:hint="eastAsia" w:ascii="仿宋" w:hAnsi="仿宋" w:eastAsia="仿宋"/>
          <w:bCs/>
          <w:sz w:val="24"/>
          <w:lang w:val="en-US" w:eastAsia="zh-CN"/>
        </w:rPr>
        <w:t>（三</w:t>
      </w:r>
      <w:r>
        <w:rPr>
          <w:rFonts w:ascii="仿宋" w:hAnsi="仿宋" w:eastAsia="仿宋"/>
          <w:bCs/>
          <w:sz w:val="24"/>
        </w:rPr>
        <w:t>）</w:t>
      </w:r>
      <w:r>
        <w:rPr>
          <w:rFonts w:hint="eastAsia" w:ascii="仿宋" w:hAnsi="仿宋" w:eastAsia="仿宋"/>
          <w:bCs/>
          <w:sz w:val="24"/>
          <w:lang w:val="en-US" w:eastAsia="zh-CN"/>
        </w:rPr>
        <w:t>评选委员会</w:t>
      </w:r>
      <w:r>
        <w:rPr>
          <w:rFonts w:ascii="仿宋" w:hAnsi="仿宋" w:eastAsia="仿宋"/>
          <w:bCs/>
          <w:sz w:val="24"/>
        </w:rPr>
        <w:t>认为</w:t>
      </w:r>
      <w:r>
        <w:rPr>
          <w:rFonts w:hint="eastAsia" w:ascii="仿宋" w:hAnsi="仿宋" w:eastAsia="仿宋"/>
          <w:bCs/>
          <w:sz w:val="24"/>
          <w:lang w:val="en-US" w:eastAsia="zh-CN"/>
        </w:rPr>
        <w:t>参询</w:t>
      </w:r>
      <w:r>
        <w:rPr>
          <w:rFonts w:ascii="仿宋" w:hAnsi="仿宋" w:eastAsia="仿宋"/>
          <w:bCs/>
          <w:sz w:val="24"/>
        </w:rPr>
        <w:t>供应商的报价明显低于其他通过符合性审查供应商的报价，有可能影响产品质量</w:t>
      </w:r>
      <w:r>
        <w:rPr>
          <w:rFonts w:hint="eastAsia" w:ascii="仿宋" w:hAnsi="仿宋" w:eastAsia="仿宋"/>
          <w:bCs/>
          <w:sz w:val="24"/>
        </w:rPr>
        <w:t>及服务质量</w:t>
      </w:r>
      <w:r>
        <w:rPr>
          <w:rFonts w:ascii="仿宋" w:hAnsi="仿宋" w:eastAsia="仿宋"/>
          <w:bCs/>
          <w:sz w:val="24"/>
        </w:rPr>
        <w:t>或者不能诚信履约的，应当要求其在</w:t>
      </w:r>
      <w:r>
        <w:rPr>
          <w:rFonts w:hint="eastAsia" w:ascii="仿宋" w:hAnsi="仿宋" w:eastAsia="仿宋"/>
          <w:bCs/>
          <w:sz w:val="24"/>
          <w:lang w:val="en-US" w:eastAsia="zh-CN"/>
        </w:rPr>
        <w:t>询价</w:t>
      </w:r>
      <w:r>
        <w:rPr>
          <w:rFonts w:ascii="仿宋" w:hAnsi="仿宋" w:eastAsia="仿宋"/>
          <w:bCs/>
          <w:sz w:val="24"/>
        </w:rPr>
        <w:t>合理的时间内提供书面说明，必要时提交相关证明材料；供应商不能证明其报价合理性的，</w:t>
      </w:r>
      <w:r>
        <w:rPr>
          <w:rFonts w:hint="eastAsia" w:ascii="仿宋" w:hAnsi="仿宋" w:eastAsia="仿宋"/>
          <w:bCs/>
          <w:sz w:val="24"/>
          <w:lang w:val="en-US" w:eastAsia="zh-CN"/>
        </w:rPr>
        <w:t>评选委员会</w:t>
      </w:r>
      <w:r>
        <w:rPr>
          <w:rFonts w:ascii="仿宋" w:hAnsi="仿宋" w:eastAsia="仿宋"/>
          <w:bCs/>
          <w:sz w:val="24"/>
        </w:rPr>
        <w:t>应当将其作为无效</w:t>
      </w:r>
      <w:r>
        <w:rPr>
          <w:rFonts w:hint="eastAsia" w:ascii="仿宋" w:hAnsi="仿宋" w:eastAsia="仿宋"/>
          <w:bCs/>
          <w:sz w:val="24"/>
          <w:lang w:val="en-US" w:eastAsia="zh-CN"/>
        </w:rPr>
        <w:t>询价</w:t>
      </w:r>
      <w:r>
        <w:rPr>
          <w:rFonts w:ascii="仿宋" w:hAnsi="仿宋" w:eastAsia="仿宋"/>
          <w:bCs/>
          <w:sz w:val="24"/>
        </w:rPr>
        <w:t>处理。</w:t>
      </w:r>
    </w:p>
    <w:p>
      <w:pPr>
        <w:pStyle w:val="3"/>
      </w:pPr>
    </w:p>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W1)">
    <w:altName w:val="Times New Roman"/>
    <w:panose1 w:val="00000000000000000000"/>
    <w:charset w:val="00"/>
    <w:family w:val="roman"/>
    <w:pitch w:val="default"/>
    <w:sig w:usb0="00000000" w:usb1="00000000" w:usb2="00000008"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00000000"/>
    <w:rsid w:val="18653EC8"/>
    <w:rsid w:val="6A0F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styleId="3">
    <w:name w:val="Body Text"/>
    <w:basedOn w:val="1"/>
    <w:qFormat/>
    <w:uiPriority w:val="99"/>
    <w:pPr>
      <w:spacing w:after="120"/>
    </w:pPr>
  </w:style>
  <w:style w:type="paragraph" w:styleId="4">
    <w:name w:val="Block Text"/>
    <w:basedOn w:val="1"/>
    <w:qFormat/>
    <w:uiPriority w:val="0"/>
    <w:pPr>
      <w:adjustRightInd w:val="0"/>
      <w:ind w:left="420" w:right="33"/>
      <w:jc w:val="left"/>
      <w:textAlignment w:val="baseline"/>
    </w:pPr>
    <w:rPr>
      <w:kern w:val="0"/>
      <w:sz w:val="24"/>
      <w:szCs w:val="20"/>
    </w:rPr>
  </w:style>
  <w:style w:type="paragraph" w:styleId="5">
    <w:name w:val="Plain Text"/>
    <w:basedOn w:val="1"/>
    <w:next w:val="1"/>
    <w:qFormat/>
    <w:uiPriority w:val="0"/>
    <w:rPr>
      <w:rFonts w:ascii="宋体" w:hAnsi="宋体" w:cs="Courier New"/>
      <w:kern w:val="1"/>
      <w:szCs w:val="21"/>
    </w:rPr>
  </w:style>
  <w:style w:type="character" w:customStyle="1" w:styleId="8">
    <w:name w:val="9fontline1"/>
    <w:qFormat/>
    <w:uiPriority w:val="0"/>
    <w:rPr>
      <w:rFonts w:hint="default" w:ascii="_x000B__x000C_" w:hAnsi="_x000B__x000C_"/>
      <w:color w:val="000000"/>
      <w:sz w:val="20"/>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3669</Words>
  <Characters>3809</Characters>
  <Paragraphs>163</Paragraphs>
  <TotalTime>3</TotalTime>
  <ScaleCrop>false</ScaleCrop>
  <LinksUpToDate>false</LinksUpToDate>
  <CharactersWithSpaces>3821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2023-08-25T15:53:00Z</dcterms:created>
  <dc:creator>L</dc:creator>
  <cp:lastModifiedBy>elioy</cp:lastModifiedBy>
  <dcterms:modified xsi:type="dcterms:W3CDTF">2023-08-28T01:58:21Z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7ECBB6ACA6A64BD6B39FFFC0C4B068C6_13</vt:lpwstr>
  </property>
</Properties>
</file>